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6D7928" w:rsidRDefault="006D7928" w:rsidP="004717F8">
      <w:pPr>
        <w:autoSpaceDE w:val="0"/>
        <w:autoSpaceDN w:val="0"/>
        <w:adjustRightInd w:val="0"/>
        <w:spacing w:after="0" w:line="240" w:lineRule="auto"/>
        <w:jc w:val="center"/>
        <w:rPr>
          <w:rFonts w:ascii="Verdana" w:hAnsi="Verdana" w:cs="TTE414BF90t00"/>
          <w:color w:val="96B4D8"/>
          <w:sz w:val="36"/>
          <w:szCs w:val="36"/>
        </w:rPr>
      </w:pPr>
    </w:p>
    <w:p w:rsidR="004717F8" w:rsidRPr="004717F8" w:rsidRDefault="004717F8" w:rsidP="004717F8">
      <w:pPr>
        <w:autoSpaceDE w:val="0"/>
        <w:autoSpaceDN w:val="0"/>
        <w:adjustRightInd w:val="0"/>
        <w:spacing w:after="0" w:line="240" w:lineRule="auto"/>
        <w:jc w:val="center"/>
        <w:rPr>
          <w:rFonts w:ascii="Verdana" w:hAnsi="Verdana" w:cs="TTE414BF90t00"/>
          <w:color w:val="96B4D8"/>
          <w:sz w:val="36"/>
          <w:szCs w:val="36"/>
        </w:rPr>
      </w:pPr>
      <w:r w:rsidRPr="004717F8">
        <w:rPr>
          <w:rFonts w:ascii="Verdana" w:hAnsi="Verdana" w:cs="TTE414BF90t00"/>
          <w:color w:val="96B4D8"/>
          <w:sz w:val="36"/>
          <w:szCs w:val="36"/>
        </w:rPr>
        <w:t>MUNICIPALITÉ DE SAINT-ÉLOI</w:t>
      </w:r>
    </w:p>
    <w:p w:rsidR="004717F8" w:rsidRDefault="004717F8" w:rsidP="004717F8">
      <w:pPr>
        <w:autoSpaceDE w:val="0"/>
        <w:autoSpaceDN w:val="0"/>
        <w:adjustRightInd w:val="0"/>
        <w:spacing w:after="0" w:line="240" w:lineRule="auto"/>
        <w:jc w:val="center"/>
        <w:rPr>
          <w:rFonts w:ascii="Verdana" w:hAnsi="Verdana" w:cs="TTE414BF90t00"/>
          <w:color w:val="96B4D8"/>
          <w:sz w:val="36"/>
          <w:szCs w:val="36"/>
        </w:rPr>
      </w:pPr>
    </w:p>
    <w:p w:rsidR="00E25E61" w:rsidRDefault="00E25E61" w:rsidP="004717F8">
      <w:pPr>
        <w:autoSpaceDE w:val="0"/>
        <w:autoSpaceDN w:val="0"/>
        <w:adjustRightInd w:val="0"/>
        <w:spacing w:after="0" w:line="240" w:lineRule="auto"/>
        <w:jc w:val="center"/>
        <w:rPr>
          <w:rFonts w:ascii="Verdana" w:hAnsi="Verdana" w:cs="TTE414BF90t00"/>
          <w:color w:val="96B4D8"/>
          <w:sz w:val="36"/>
          <w:szCs w:val="36"/>
        </w:rPr>
      </w:pPr>
    </w:p>
    <w:p w:rsidR="00E25E61" w:rsidRPr="004717F8" w:rsidRDefault="00E25E61" w:rsidP="004717F8">
      <w:pPr>
        <w:autoSpaceDE w:val="0"/>
        <w:autoSpaceDN w:val="0"/>
        <w:adjustRightInd w:val="0"/>
        <w:spacing w:after="0" w:line="240" w:lineRule="auto"/>
        <w:jc w:val="center"/>
        <w:rPr>
          <w:rFonts w:ascii="Verdana" w:hAnsi="Verdana" w:cs="TTE414BF90t00"/>
          <w:color w:val="96B4D8"/>
          <w:sz w:val="36"/>
          <w:szCs w:val="36"/>
        </w:rPr>
      </w:pPr>
    </w:p>
    <w:p w:rsidR="004717F8" w:rsidRPr="004717F8" w:rsidRDefault="004717F8" w:rsidP="004717F8">
      <w:pPr>
        <w:autoSpaceDE w:val="0"/>
        <w:autoSpaceDN w:val="0"/>
        <w:adjustRightInd w:val="0"/>
        <w:spacing w:after="0" w:line="240" w:lineRule="auto"/>
        <w:jc w:val="center"/>
        <w:rPr>
          <w:rFonts w:ascii="Verdana" w:hAnsi="Verdana" w:cs="TTE414BF90t00"/>
          <w:color w:val="96B4D8"/>
          <w:sz w:val="36"/>
          <w:szCs w:val="36"/>
        </w:rPr>
      </w:pPr>
      <w:r w:rsidRPr="004717F8">
        <w:rPr>
          <w:rFonts w:ascii="Verdana" w:hAnsi="Verdana" w:cs="TTE414BF90t00"/>
          <w:color w:val="96B4D8"/>
          <w:sz w:val="36"/>
          <w:szCs w:val="36"/>
        </w:rPr>
        <w:t>POLITIQUE DE GESTION CONTRACTUELLE</w:t>
      </w:r>
    </w:p>
    <w:p w:rsidR="004717F8" w:rsidRDefault="004717F8"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6D7928" w:rsidRDefault="006D7928" w:rsidP="004717F8">
      <w:pPr>
        <w:jc w:val="center"/>
        <w:rPr>
          <w:rFonts w:ascii="Verdana" w:hAnsi="Verdana" w:cs="TTE414BF90t00"/>
          <w:color w:val="000000"/>
          <w:sz w:val="20"/>
          <w:szCs w:val="20"/>
        </w:rPr>
      </w:pPr>
    </w:p>
    <w:p w:rsidR="006D7928" w:rsidRDefault="006D7928" w:rsidP="004717F8">
      <w:pPr>
        <w:jc w:val="center"/>
        <w:rPr>
          <w:rFonts w:ascii="Verdana" w:hAnsi="Verdana" w:cs="TTE414BF90t00"/>
          <w:color w:val="000000"/>
          <w:sz w:val="20"/>
          <w:szCs w:val="20"/>
        </w:rPr>
      </w:pPr>
    </w:p>
    <w:p w:rsidR="006D7928" w:rsidRDefault="006D7928"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Default="00E25E61" w:rsidP="004717F8">
      <w:pPr>
        <w:jc w:val="center"/>
        <w:rPr>
          <w:rFonts w:ascii="Verdana" w:hAnsi="Verdana" w:cs="TTE414BF90t00"/>
          <w:color w:val="000000"/>
          <w:sz w:val="20"/>
          <w:szCs w:val="20"/>
        </w:rPr>
      </w:pPr>
    </w:p>
    <w:p w:rsidR="00E25E61" w:rsidRPr="004717F8" w:rsidRDefault="00E25E61" w:rsidP="004717F8">
      <w:pPr>
        <w:jc w:val="center"/>
        <w:rPr>
          <w:rFonts w:ascii="Verdana" w:hAnsi="Verdana" w:cs="TTE414BF90t00"/>
          <w:color w:val="000000"/>
          <w:sz w:val="20"/>
          <w:szCs w:val="20"/>
        </w:rPr>
      </w:pPr>
    </w:p>
    <w:p w:rsidR="008033FE" w:rsidRDefault="008033FE" w:rsidP="008033FE">
      <w:pPr>
        <w:jc w:val="center"/>
        <w:rPr>
          <w:rFonts w:ascii="Verdana" w:hAnsi="Verdana" w:cs="TTE414BF90t00"/>
          <w:color w:val="000000"/>
          <w:sz w:val="20"/>
          <w:szCs w:val="20"/>
        </w:rPr>
      </w:pPr>
      <w:r>
        <w:rPr>
          <w:rFonts w:ascii="Verdana" w:hAnsi="Verdana" w:cs="TTE414BF90t00"/>
          <w:color w:val="000000"/>
          <w:sz w:val="20"/>
          <w:szCs w:val="20"/>
        </w:rPr>
        <w:t xml:space="preserve">Adopté le </w:t>
      </w:r>
      <w:r w:rsidR="00512F2F">
        <w:rPr>
          <w:rFonts w:ascii="Verdana" w:hAnsi="Verdana" w:cs="TTE414BF90t00"/>
          <w:color w:val="000000"/>
          <w:sz w:val="20"/>
          <w:szCs w:val="20"/>
        </w:rPr>
        <w:t>6</w:t>
      </w:r>
      <w:r>
        <w:rPr>
          <w:rFonts w:ascii="Verdana" w:hAnsi="Verdana" w:cs="TTE414BF90t00"/>
          <w:color w:val="000000"/>
          <w:sz w:val="20"/>
          <w:szCs w:val="20"/>
        </w:rPr>
        <w:t xml:space="preserve"> </w:t>
      </w:r>
      <w:r w:rsidR="004717F8" w:rsidRPr="004717F8">
        <w:rPr>
          <w:rFonts w:ascii="Verdana" w:hAnsi="Verdana" w:cs="TTE414BF90t00"/>
          <w:color w:val="000000"/>
          <w:sz w:val="20"/>
          <w:szCs w:val="20"/>
        </w:rPr>
        <w:t>Décembre 2010</w:t>
      </w:r>
    </w:p>
    <w:p w:rsidR="008033FE" w:rsidRDefault="008033FE" w:rsidP="008033FE">
      <w:pPr>
        <w:jc w:val="center"/>
        <w:rPr>
          <w:rFonts w:ascii="Verdana" w:hAnsi="Verdana" w:cs="TTE414BF90t00"/>
          <w:color w:val="000000"/>
          <w:sz w:val="20"/>
          <w:szCs w:val="20"/>
        </w:rPr>
      </w:pPr>
      <w:r>
        <w:rPr>
          <w:rFonts w:ascii="Verdana" w:hAnsi="Verdana" w:cs="TTE414BF90t00"/>
          <w:color w:val="000000"/>
          <w:sz w:val="20"/>
          <w:szCs w:val="20"/>
        </w:rPr>
        <w:t>Résolution numéro 2010-12-</w:t>
      </w:r>
      <w:r w:rsidR="00512F2F">
        <w:rPr>
          <w:rFonts w:ascii="Verdana" w:hAnsi="Verdana" w:cs="TTE414BF90t00"/>
          <w:color w:val="000000"/>
          <w:sz w:val="20"/>
          <w:szCs w:val="20"/>
        </w:rPr>
        <w:t>224</w:t>
      </w:r>
    </w:p>
    <w:p w:rsidR="004717F8" w:rsidRPr="004717F8" w:rsidRDefault="004717F8" w:rsidP="008033FE">
      <w:pPr>
        <w:jc w:val="center"/>
        <w:rPr>
          <w:rFonts w:ascii="Verdana" w:hAnsi="Verdana" w:cs="TTE414BF90t00"/>
          <w:color w:val="000000"/>
          <w:sz w:val="20"/>
          <w:szCs w:val="20"/>
        </w:rPr>
      </w:pPr>
      <w:r w:rsidRPr="004717F8">
        <w:rPr>
          <w:rFonts w:ascii="Verdana" w:hAnsi="Verdana" w:cs="TTE414BF90t00"/>
          <w:color w:val="000000"/>
          <w:sz w:val="20"/>
          <w:szCs w:val="20"/>
        </w:rPr>
        <w:br w:type="page"/>
      </w:r>
    </w:p>
    <w:p w:rsidR="004717F8" w:rsidRPr="004717F8" w:rsidRDefault="004717F8" w:rsidP="004717F8">
      <w:pPr>
        <w:autoSpaceDE w:val="0"/>
        <w:autoSpaceDN w:val="0"/>
        <w:adjustRightInd w:val="0"/>
        <w:spacing w:after="0" w:line="240" w:lineRule="auto"/>
        <w:rPr>
          <w:rFonts w:ascii="Verdana" w:hAnsi="Verdana" w:cs="TTE4690400t00"/>
          <w:b/>
          <w:sz w:val="20"/>
          <w:szCs w:val="20"/>
          <w:u w:val="single"/>
        </w:rPr>
      </w:pPr>
      <w:r w:rsidRPr="004717F8">
        <w:rPr>
          <w:rFonts w:ascii="Verdana" w:hAnsi="Verdana" w:cs="TTE4690400t00"/>
          <w:b/>
          <w:sz w:val="20"/>
          <w:szCs w:val="20"/>
          <w:u w:val="single"/>
        </w:rPr>
        <w:lastRenderedPageBreak/>
        <w:t>CADRE DE RÉFÉRENCE</w:t>
      </w:r>
    </w:p>
    <w:p w:rsidR="004717F8" w:rsidRDefault="004717F8" w:rsidP="004717F8">
      <w:pPr>
        <w:autoSpaceDE w:val="0"/>
        <w:autoSpaceDN w:val="0"/>
        <w:adjustRightInd w:val="0"/>
        <w:spacing w:after="0" w:line="240" w:lineRule="auto"/>
        <w:rPr>
          <w:rFonts w:ascii="Verdana" w:hAnsi="Verdana" w:cs="TTE4690400t00"/>
          <w:sz w:val="20"/>
          <w:szCs w:val="20"/>
        </w:rPr>
      </w:pPr>
    </w:p>
    <w:p w:rsid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Une politique de gestion contractuelle est minimalement constituée des rubriques suivantes :</w:t>
      </w:r>
    </w:p>
    <w:p w:rsidR="004717F8" w:rsidRPr="004717F8" w:rsidRDefault="004717F8" w:rsidP="004717F8">
      <w:pPr>
        <w:autoSpaceDE w:val="0"/>
        <w:autoSpaceDN w:val="0"/>
        <w:adjustRightInd w:val="0"/>
        <w:spacing w:after="0" w:line="240" w:lineRule="auto"/>
        <w:rPr>
          <w:rFonts w:ascii="Verdana" w:hAnsi="Verdana" w:cs="TTE414BF90t00"/>
          <w:sz w:val="20"/>
          <w:szCs w:val="20"/>
        </w:rPr>
      </w:pP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Objet;</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1;</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2;</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3;</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4;</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5;</w:t>
      </w:r>
    </w:p>
    <w:p w:rsidR="004717F8" w:rsidRPr="004717F8" w:rsidRDefault="004717F8" w:rsidP="004717F8">
      <w:pPr>
        <w:autoSpaceDE w:val="0"/>
        <w:autoSpaceDN w:val="0"/>
        <w:adjustRightInd w:val="0"/>
        <w:spacing w:after="0" w:line="240" w:lineRule="auto"/>
        <w:rPr>
          <w:rFonts w:ascii="Verdana" w:hAnsi="Verdana" w:cs="TTE414BF90t00"/>
          <w:sz w:val="20"/>
          <w:szCs w:val="20"/>
        </w:rPr>
      </w:pPr>
      <w:r w:rsidRPr="004717F8">
        <w:rPr>
          <w:rFonts w:ascii="Verdana" w:hAnsi="Verdana" w:cs="TTE414BF90t00"/>
          <w:sz w:val="20"/>
          <w:szCs w:val="20"/>
        </w:rPr>
        <w:t>Ensemble de mesures no 6;</w:t>
      </w:r>
    </w:p>
    <w:p w:rsidR="004717F8" w:rsidRPr="004717F8" w:rsidRDefault="004717F8" w:rsidP="004717F8">
      <w:pPr>
        <w:jc w:val="both"/>
        <w:rPr>
          <w:rFonts w:ascii="Verdana" w:hAnsi="Verdana" w:cs="TTE414BF90t00"/>
          <w:color w:val="000000"/>
          <w:sz w:val="20"/>
          <w:szCs w:val="20"/>
        </w:rPr>
      </w:pPr>
      <w:r w:rsidRPr="004717F8">
        <w:rPr>
          <w:rFonts w:ascii="Verdana" w:hAnsi="Verdana" w:cs="TTE414BF90t00"/>
          <w:sz w:val="20"/>
          <w:szCs w:val="20"/>
        </w:rPr>
        <w:t>Ensemble de mesures no 7.</w:t>
      </w:r>
    </w:p>
    <w:p w:rsidR="004717F8" w:rsidRDefault="004717F8">
      <w:r>
        <w:br w:type="page"/>
      </w:r>
    </w:p>
    <w:p w:rsidR="004717F8" w:rsidRPr="004D01E0" w:rsidRDefault="004717F8" w:rsidP="004717F8">
      <w:pPr>
        <w:autoSpaceDE w:val="0"/>
        <w:autoSpaceDN w:val="0"/>
        <w:adjustRightInd w:val="0"/>
        <w:spacing w:after="0" w:line="240" w:lineRule="auto"/>
        <w:rPr>
          <w:rFonts w:ascii="Verdana" w:hAnsi="Verdana" w:cs="TTE4690400t00"/>
          <w:b/>
          <w:u w:val="single"/>
        </w:rPr>
      </w:pPr>
      <w:r w:rsidRPr="004D01E0">
        <w:rPr>
          <w:rFonts w:ascii="Verdana" w:hAnsi="Verdana" w:cs="TTE4690400t00"/>
          <w:b/>
          <w:u w:val="single"/>
        </w:rPr>
        <w:lastRenderedPageBreak/>
        <w:t>OBJET</w:t>
      </w:r>
    </w:p>
    <w:p w:rsidR="004717F8" w:rsidRDefault="004717F8" w:rsidP="004717F8">
      <w:pPr>
        <w:autoSpaceDE w:val="0"/>
        <w:autoSpaceDN w:val="0"/>
        <w:adjustRightInd w:val="0"/>
        <w:spacing w:after="0" w:line="240" w:lineRule="auto"/>
        <w:rPr>
          <w:rFonts w:ascii="Verdana" w:hAnsi="Verdana" w:cs="TTE4690400t00"/>
          <w:b/>
          <w:u w:val="single"/>
        </w:rPr>
      </w:pPr>
    </w:p>
    <w:p w:rsidR="00D172B3" w:rsidRPr="00D172B3" w:rsidRDefault="00D172B3" w:rsidP="008448FA">
      <w:pPr>
        <w:autoSpaceDE w:val="0"/>
        <w:autoSpaceDN w:val="0"/>
        <w:adjustRightInd w:val="0"/>
        <w:spacing w:after="0" w:line="240" w:lineRule="auto"/>
        <w:jc w:val="both"/>
        <w:rPr>
          <w:rFonts w:ascii="Verdana" w:hAnsi="Verdana" w:cs="TTE4690400t00"/>
          <w:bCs/>
          <w:i/>
          <w:iCs/>
        </w:rPr>
      </w:pPr>
      <w:r w:rsidRPr="00D172B3">
        <w:rPr>
          <w:rFonts w:ascii="Verdana" w:hAnsi="Verdana" w:cs="TTE4690400t00"/>
        </w:rPr>
        <w:t xml:space="preserve">La présente « Politique de gestion contractuelle » est adoptée en vertu de </w:t>
      </w:r>
    </w:p>
    <w:p w:rsidR="00D172B3" w:rsidRDefault="00D172B3" w:rsidP="008448FA">
      <w:pPr>
        <w:autoSpaceDE w:val="0"/>
        <w:autoSpaceDN w:val="0"/>
        <w:adjustRightInd w:val="0"/>
        <w:spacing w:after="0" w:line="240" w:lineRule="auto"/>
        <w:jc w:val="both"/>
        <w:rPr>
          <w:rFonts w:ascii="Verdana" w:hAnsi="Verdana" w:cs="TTE4690400t00"/>
          <w:bCs/>
          <w:i/>
          <w:iCs/>
        </w:rPr>
      </w:pPr>
      <w:proofErr w:type="gramStart"/>
      <w:r w:rsidRPr="00D172B3">
        <w:rPr>
          <w:rFonts w:ascii="Verdana" w:hAnsi="Verdana" w:cs="TTE4690400t00"/>
          <w:bCs/>
          <w:i/>
          <w:iCs/>
        </w:rPr>
        <w:t>l’article</w:t>
      </w:r>
      <w:proofErr w:type="gramEnd"/>
      <w:r w:rsidRPr="00D172B3">
        <w:rPr>
          <w:rFonts w:ascii="Verdana" w:hAnsi="Verdana" w:cs="TTE4690400t00"/>
          <w:bCs/>
          <w:i/>
          <w:iCs/>
        </w:rPr>
        <w:t xml:space="preserve"> 938.1.2 du Code municipal</w:t>
      </w:r>
      <w:r>
        <w:rPr>
          <w:rFonts w:ascii="Verdana" w:hAnsi="Verdana" w:cs="TTE4690400t00"/>
          <w:bCs/>
          <w:i/>
          <w:iCs/>
        </w:rPr>
        <w:t>.</w:t>
      </w:r>
      <w:r w:rsidRPr="00D172B3">
        <w:rPr>
          <w:rFonts w:ascii="Verdana" w:hAnsi="Verdana" w:cs="TTE4690400t00"/>
          <w:bCs/>
          <w:i/>
          <w:iCs/>
        </w:rPr>
        <w:t xml:space="preserve"> </w:t>
      </w:r>
    </w:p>
    <w:p w:rsidR="00D172B3" w:rsidRPr="00D172B3" w:rsidRDefault="00D172B3" w:rsidP="00D172B3">
      <w:pPr>
        <w:autoSpaceDE w:val="0"/>
        <w:autoSpaceDN w:val="0"/>
        <w:adjustRightInd w:val="0"/>
        <w:spacing w:after="0" w:line="240" w:lineRule="auto"/>
        <w:jc w:val="both"/>
        <w:rPr>
          <w:rFonts w:ascii="Verdana" w:hAnsi="Verdana" w:cs="TTE4690400t00"/>
          <w:bCs/>
          <w:i/>
          <w:iCs/>
        </w:rPr>
      </w:pPr>
    </w:p>
    <w:p w:rsidR="00D172B3" w:rsidRDefault="00D172B3" w:rsidP="00D172B3">
      <w:pPr>
        <w:autoSpaceDE w:val="0"/>
        <w:autoSpaceDN w:val="0"/>
        <w:adjustRightInd w:val="0"/>
        <w:spacing w:after="0" w:line="240" w:lineRule="auto"/>
        <w:jc w:val="both"/>
        <w:rPr>
          <w:rFonts w:ascii="Verdana" w:hAnsi="Verdana" w:cs="TTE4690400t00"/>
        </w:rPr>
      </w:pPr>
      <w:r w:rsidRPr="00D172B3">
        <w:rPr>
          <w:rFonts w:ascii="Verdana" w:hAnsi="Verdana" w:cs="TTE4690400t00"/>
        </w:rPr>
        <w:t>En vertu de cette disposition, toute municipalité doit adopter une politique de gestion contractuelle</w:t>
      </w:r>
      <w:r>
        <w:rPr>
          <w:rFonts w:ascii="Verdana" w:hAnsi="Verdana" w:cs="TTE4690400t00"/>
        </w:rPr>
        <w:t xml:space="preserve"> </w:t>
      </w:r>
      <w:r w:rsidRPr="00D172B3">
        <w:rPr>
          <w:rFonts w:ascii="Verdana" w:hAnsi="Verdana" w:cs="TTE4690400t00"/>
        </w:rPr>
        <w:t>s’appliquant aux contrats municipaux et prévoyant des mesures pour assurer une saine concurrence entre</w:t>
      </w:r>
      <w:r>
        <w:rPr>
          <w:rFonts w:ascii="Verdana" w:hAnsi="Verdana" w:cs="TTE4690400t00"/>
        </w:rPr>
        <w:t xml:space="preserve"> </w:t>
      </w:r>
      <w:r w:rsidRPr="00D172B3">
        <w:rPr>
          <w:rFonts w:ascii="Verdana" w:hAnsi="Verdana" w:cs="TTE4690400t00"/>
        </w:rPr>
        <w:t>les personnes contractant ou voulant contracter avec la municipalité. Les mesures en question doivent viser</w:t>
      </w:r>
      <w:r>
        <w:rPr>
          <w:rFonts w:ascii="Verdana" w:hAnsi="Verdana" w:cs="TTE4690400t00"/>
        </w:rPr>
        <w:t xml:space="preserve"> </w:t>
      </w:r>
      <w:r w:rsidRPr="00D172B3">
        <w:rPr>
          <w:rFonts w:ascii="Verdana" w:hAnsi="Verdana" w:cs="TTE4690400t00"/>
        </w:rPr>
        <w:t>sept (7) thèmes de préoccupation clairement précisés dans cette disposition législative. Ces thèmes doivent</w:t>
      </w:r>
      <w:r>
        <w:rPr>
          <w:rFonts w:ascii="Verdana" w:hAnsi="Verdana" w:cs="TTE4690400t00"/>
        </w:rPr>
        <w:t xml:space="preserve"> </w:t>
      </w:r>
      <w:r w:rsidRPr="00D172B3">
        <w:rPr>
          <w:rFonts w:ascii="Verdana" w:hAnsi="Verdana" w:cs="TTE4690400t00"/>
        </w:rPr>
        <w:t>contenir minimalement deux mesures spécifiques.</w:t>
      </w:r>
      <w:r>
        <w:rPr>
          <w:rFonts w:ascii="Verdana" w:hAnsi="Verdana" w:cs="TTE4690400t00"/>
        </w:rPr>
        <w:t xml:space="preserve"> </w:t>
      </w:r>
    </w:p>
    <w:p w:rsidR="00D172B3" w:rsidRDefault="00D172B3" w:rsidP="00D172B3">
      <w:pPr>
        <w:autoSpaceDE w:val="0"/>
        <w:autoSpaceDN w:val="0"/>
        <w:adjustRightInd w:val="0"/>
        <w:spacing w:after="0" w:line="240" w:lineRule="auto"/>
        <w:jc w:val="both"/>
        <w:rPr>
          <w:rFonts w:ascii="Verdana" w:hAnsi="Verdana" w:cs="TTE4690400t00"/>
        </w:rPr>
      </w:pPr>
    </w:p>
    <w:p w:rsidR="00D172B3" w:rsidRPr="00D172B3" w:rsidRDefault="00D172B3" w:rsidP="00D172B3">
      <w:pPr>
        <w:autoSpaceDE w:val="0"/>
        <w:autoSpaceDN w:val="0"/>
        <w:adjustRightInd w:val="0"/>
        <w:spacing w:after="0" w:line="240" w:lineRule="auto"/>
        <w:jc w:val="both"/>
        <w:rPr>
          <w:rFonts w:ascii="Verdana" w:hAnsi="Verdana" w:cs="TTE4690400t00"/>
        </w:rPr>
      </w:pPr>
      <w:r w:rsidRPr="00D172B3">
        <w:rPr>
          <w:rFonts w:ascii="Verdana" w:hAnsi="Verdana" w:cs="TTE4690400t00"/>
        </w:rPr>
        <w:t>Il est à noter que la présente politique n’a pas pour objectif de remplacer, modifier ou bonifier toute</w:t>
      </w:r>
      <w:r>
        <w:rPr>
          <w:rFonts w:ascii="Verdana" w:hAnsi="Verdana" w:cs="TTE4690400t00"/>
        </w:rPr>
        <w:t xml:space="preserve"> </w:t>
      </w:r>
      <w:r w:rsidRPr="00D172B3">
        <w:rPr>
          <w:rFonts w:ascii="Verdana" w:hAnsi="Verdana" w:cs="TTE4690400t00"/>
        </w:rPr>
        <w:t>disposition législative ou règle jurisprudentielle applicable en matière d’octroi ou de gestion de contrats</w:t>
      </w:r>
      <w:r>
        <w:rPr>
          <w:rFonts w:ascii="Verdana" w:hAnsi="Verdana" w:cs="TTE4690400t00"/>
        </w:rPr>
        <w:t xml:space="preserve"> </w:t>
      </w:r>
      <w:r w:rsidRPr="00D172B3">
        <w:rPr>
          <w:rFonts w:ascii="Verdana" w:hAnsi="Verdana" w:cs="TTE4690400t00"/>
        </w:rPr>
        <w:t>municipaux.</w:t>
      </w:r>
    </w:p>
    <w:p w:rsidR="00D172B3" w:rsidRPr="004D01E0" w:rsidRDefault="00D172B3" w:rsidP="004717F8">
      <w:pPr>
        <w:autoSpaceDE w:val="0"/>
        <w:autoSpaceDN w:val="0"/>
        <w:adjustRightInd w:val="0"/>
        <w:spacing w:after="0" w:line="240" w:lineRule="auto"/>
        <w:rPr>
          <w:rFonts w:ascii="Verdana" w:hAnsi="Verdana" w:cs="TTE4690400t00"/>
          <w:b/>
          <w:u w:val="single"/>
        </w:rPr>
      </w:pPr>
    </w:p>
    <w:p w:rsidR="008033FE" w:rsidRDefault="008033FE" w:rsidP="008033FE">
      <w:pPr>
        <w:autoSpaceDE w:val="0"/>
        <w:autoSpaceDN w:val="0"/>
        <w:adjustRightInd w:val="0"/>
        <w:spacing w:after="0" w:line="240" w:lineRule="auto"/>
        <w:jc w:val="both"/>
        <w:rPr>
          <w:rFonts w:ascii="Verdana" w:hAnsi="Verdana" w:cs="TTE414BF90t00"/>
        </w:rPr>
      </w:pPr>
      <w:r w:rsidRPr="008033FE">
        <w:rPr>
          <w:rFonts w:ascii="Verdana" w:hAnsi="Verdana" w:cs="TTE414BF90t00"/>
        </w:rPr>
        <w:t>Toute municipalité doit rendre sa politique accessible en tout temps en la publiant sur le site Internet où elle</w:t>
      </w:r>
      <w:r>
        <w:rPr>
          <w:rFonts w:ascii="Verdana" w:hAnsi="Verdana" w:cs="TTE414BF90t00"/>
        </w:rPr>
        <w:t xml:space="preserve"> </w:t>
      </w:r>
      <w:r w:rsidRPr="008033FE">
        <w:rPr>
          <w:rFonts w:ascii="Verdana" w:hAnsi="Verdana" w:cs="TTE414BF90t00"/>
        </w:rPr>
        <w:t>publie la mention et l'hyperlien visés au deuxième alinéa de l'article 961.4.</w:t>
      </w:r>
    </w:p>
    <w:p w:rsidR="008033FE" w:rsidRPr="008033FE" w:rsidRDefault="008033FE" w:rsidP="008033FE">
      <w:pPr>
        <w:autoSpaceDE w:val="0"/>
        <w:autoSpaceDN w:val="0"/>
        <w:adjustRightInd w:val="0"/>
        <w:spacing w:after="0" w:line="240" w:lineRule="auto"/>
        <w:jc w:val="both"/>
        <w:rPr>
          <w:rFonts w:ascii="Verdana" w:hAnsi="Verdana" w:cs="TTE414BF90t00"/>
        </w:rPr>
      </w:pPr>
    </w:p>
    <w:p w:rsidR="008033FE" w:rsidRPr="004D01E0" w:rsidRDefault="008033FE" w:rsidP="008033FE">
      <w:pPr>
        <w:autoSpaceDE w:val="0"/>
        <w:autoSpaceDN w:val="0"/>
        <w:adjustRightInd w:val="0"/>
        <w:spacing w:after="0" w:line="240" w:lineRule="auto"/>
        <w:jc w:val="both"/>
        <w:rPr>
          <w:rFonts w:ascii="Verdana" w:hAnsi="Verdana" w:cs="TTE414BF90t00"/>
        </w:rPr>
      </w:pPr>
      <w:r w:rsidRPr="008033FE">
        <w:rPr>
          <w:rFonts w:ascii="Verdana" w:hAnsi="Verdana" w:cs="TTE414BF90t00"/>
        </w:rPr>
        <w:t>L'article 938.4 s'applique uniquement, en ce qui concerne le non-respect d'une mesure prévue dans la</w:t>
      </w:r>
      <w:r>
        <w:rPr>
          <w:rFonts w:ascii="Verdana" w:hAnsi="Verdana" w:cs="TTE414BF90t00"/>
        </w:rPr>
        <w:t xml:space="preserve"> </w:t>
      </w:r>
      <w:r w:rsidRPr="008033FE">
        <w:rPr>
          <w:rFonts w:ascii="Verdana" w:hAnsi="Verdana" w:cs="TTE414BF90t00"/>
        </w:rPr>
        <w:t>politique, dans le cas d'un contrat dont le processus d'attribution a commencé après la date à compter de</w:t>
      </w:r>
      <w:r>
        <w:rPr>
          <w:rFonts w:ascii="Verdana" w:hAnsi="Verdana" w:cs="TTE414BF90t00"/>
        </w:rPr>
        <w:t xml:space="preserve"> </w:t>
      </w:r>
      <w:r w:rsidRPr="008033FE">
        <w:rPr>
          <w:rFonts w:ascii="Verdana" w:hAnsi="Verdana" w:cs="TTE414BF90t00"/>
        </w:rPr>
        <w:t>laquelle la mesure est prévue dans la politique.</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Elle traite des mesures :</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1. visant à assumer que tout soumissionnaire, ou l’un de ses représentants, n’a pas</w:t>
      </w:r>
      <w:r w:rsidR="00D172B3">
        <w:rPr>
          <w:rFonts w:ascii="Verdana" w:hAnsi="Verdana" w:cs="TTE414BF90t00"/>
        </w:rPr>
        <w:t xml:space="preserve"> </w:t>
      </w:r>
      <w:r w:rsidRPr="004D01E0">
        <w:rPr>
          <w:rFonts w:ascii="Verdana" w:hAnsi="Verdana" w:cs="TTE414BF90t00"/>
        </w:rPr>
        <w:t>communiqué ou tenté de communiquer, dans le but de l’influencer, avec un membre du</w:t>
      </w:r>
      <w:r w:rsidR="00D172B3">
        <w:rPr>
          <w:rFonts w:ascii="Verdana" w:hAnsi="Verdana" w:cs="TTE414BF90t00"/>
        </w:rPr>
        <w:t xml:space="preserve"> </w:t>
      </w:r>
      <w:r w:rsidRPr="004D01E0">
        <w:rPr>
          <w:rFonts w:ascii="Verdana" w:hAnsi="Verdana" w:cs="TTE414BF90t00"/>
        </w:rPr>
        <w:t>comité de sélection relativement à la demande de soumissions pour laquelle il a présenté une soumission;</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2. favorisant le respect des lois applicables qui visent à lutter contre le trucage des offres;</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 xml:space="preserve">3. visant à assurer le respect de la Loi sur la transparence et l’éthique en matière de </w:t>
      </w:r>
      <w:proofErr w:type="spellStart"/>
      <w:r w:rsidRPr="004D01E0">
        <w:rPr>
          <w:rFonts w:ascii="Verdana" w:hAnsi="Verdana" w:cs="TTE414BF90t00"/>
        </w:rPr>
        <w:t>lobbyisme</w:t>
      </w:r>
      <w:proofErr w:type="spellEnd"/>
      <w:r w:rsidRPr="004D01E0">
        <w:rPr>
          <w:rFonts w:ascii="Verdana" w:hAnsi="Verdana" w:cs="TTE414BF90t00"/>
        </w:rPr>
        <w:t xml:space="preserve"> et du Code de déontologie des lobbyistes adopté en vertu de cette loi;</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4. ayant pour but de prévenir les gestes d’intimidation, de trafic d’influence ou de corruption;</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5. ayant pour but de prévenir les situations de conflits d’intérêts;</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6. ayant pour but de prévenir toute autre situation susceptible de compromettre l’impartialité et l’objectivité du processus de demandes de soumissions et de la gestion du contrat qui en résulte;</w:t>
      </w: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Default="004717F8" w:rsidP="004D01E0">
      <w:pPr>
        <w:autoSpaceDE w:val="0"/>
        <w:autoSpaceDN w:val="0"/>
        <w:adjustRightInd w:val="0"/>
        <w:spacing w:after="0" w:line="240" w:lineRule="auto"/>
        <w:jc w:val="both"/>
        <w:rPr>
          <w:rFonts w:ascii="Verdana" w:hAnsi="Verdana" w:cs="TTE414BF90t00"/>
        </w:rPr>
      </w:pPr>
      <w:r w:rsidRPr="004D01E0">
        <w:rPr>
          <w:rFonts w:ascii="Verdana" w:hAnsi="Verdana" w:cs="TTE414BF90t00"/>
        </w:rPr>
        <w:t>7. visant à encadrer la prise de toute décision ayant pour effet d’autoriser la modification d’un contrat.</w:t>
      </w:r>
    </w:p>
    <w:p w:rsidR="00E92BB2" w:rsidRPr="004D01E0" w:rsidRDefault="00E92BB2"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14BF90t00"/>
        </w:rPr>
      </w:pPr>
    </w:p>
    <w:p w:rsidR="004717F8" w:rsidRPr="004D01E0" w:rsidRDefault="004717F8" w:rsidP="004D01E0">
      <w:pPr>
        <w:autoSpaceDE w:val="0"/>
        <w:autoSpaceDN w:val="0"/>
        <w:adjustRightInd w:val="0"/>
        <w:spacing w:after="0" w:line="240" w:lineRule="auto"/>
        <w:jc w:val="both"/>
        <w:rPr>
          <w:rFonts w:ascii="Verdana" w:hAnsi="Verdana" w:cs="TTE4690400t00"/>
          <w:b/>
          <w:u w:val="single"/>
        </w:rPr>
      </w:pPr>
      <w:r w:rsidRPr="004D01E0">
        <w:rPr>
          <w:rFonts w:ascii="Verdana" w:hAnsi="Verdana" w:cs="TTE4690400t00"/>
          <w:b/>
          <w:u w:val="single"/>
        </w:rPr>
        <w:lastRenderedPageBreak/>
        <w:t>ENSEMBLE DE MESURES NO 1</w:t>
      </w:r>
    </w:p>
    <w:p w:rsidR="004717F8" w:rsidRDefault="004717F8" w:rsidP="004D01E0">
      <w:pPr>
        <w:autoSpaceDE w:val="0"/>
        <w:autoSpaceDN w:val="0"/>
        <w:adjustRightInd w:val="0"/>
        <w:spacing w:after="0" w:line="240" w:lineRule="auto"/>
        <w:jc w:val="both"/>
        <w:rPr>
          <w:rFonts w:ascii="TTE4690400t00" w:hAnsi="TTE4690400t00" w:cs="TTE4690400t00"/>
        </w:rPr>
      </w:pPr>
    </w:p>
    <w:p w:rsidR="004717F8" w:rsidRPr="004D01E0" w:rsidRDefault="004717F8" w:rsidP="004D01E0">
      <w:pPr>
        <w:autoSpaceDE w:val="0"/>
        <w:autoSpaceDN w:val="0"/>
        <w:adjustRightInd w:val="0"/>
        <w:spacing w:after="0" w:line="240" w:lineRule="auto"/>
        <w:jc w:val="both"/>
        <w:rPr>
          <w:rFonts w:ascii="Verdana" w:hAnsi="Verdana" w:cs="TTE4690400t00"/>
          <w:b/>
        </w:rPr>
      </w:pPr>
      <w:r w:rsidRPr="004D01E0">
        <w:rPr>
          <w:rFonts w:ascii="Verdana" w:hAnsi="Verdana" w:cs="TTE4690400t00"/>
          <w:b/>
        </w:rPr>
        <w:t>Mesures visant à assumer que tout soumissionnaire, ou l’un de ses représentants, n’a pas communiqué ou tenté de communiquer, dans le but de l’influencer, avec un membre du comité de sélection relativement à la demande de soumissions pour laquelle il a présenté une soumission.</w:t>
      </w:r>
    </w:p>
    <w:p w:rsidR="004D01E0" w:rsidRPr="004D01E0" w:rsidRDefault="004D01E0" w:rsidP="004D01E0">
      <w:pPr>
        <w:autoSpaceDE w:val="0"/>
        <w:autoSpaceDN w:val="0"/>
        <w:adjustRightInd w:val="0"/>
        <w:spacing w:after="0" w:line="240" w:lineRule="auto"/>
        <w:jc w:val="both"/>
        <w:rPr>
          <w:rFonts w:ascii="Verdana" w:hAnsi="Verdana" w:cs="TTE4690400t00"/>
          <w:b/>
        </w:rPr>
      </w:pPr>
    </w:p>
    <w:p w:rsidR="004D01E0" w:rsidRPr="00457DA0" w:rsidRDefault="004D01E0" w:rsidP="00E92BB2">
      <w:pPr>
        <w:pStyle w:val="Paragraphedeliste"/>
        <w:numPr>
          <w:ilvl w:val="1"/>
          <w:numId w:val="1"/>
        </w:numPr>
        <w:autoSpaceDE w:val="0"/>
        <w:autoSpaceDN w:val="0"/>
        <w:adjustRightInd w:val="0"/>
        <w:spacing w:after="0" w:line="240" w:lineRule="auto"/>
        <w:ind w:left="0" w:firstLine="0"/>
        <w:jc w:val="both"/>
        <w:rPr>
          <w:rFonts w:ascii="Verdana" w:hAnsi="Verdana"/>
        </w:rPr>
      </w:pPr>
      <w:r w:rsidRPr="00457DA0">
        <w:rPr>
          <w:rFonts w:ascii="Verdana" w:hAnsi="Verdana"/>
        </w:rPr>
        <w:t>Un responsable en octroi de contrat doit être nommé, pour chaque appel d’offres, afin de pouvoir fournir les informations administratives et techniques concernant toute procédure d’appel d’offres aux soumissionnaires potentiels.</w:t>
      </w:r>
    </w:p>
    <w:p w:rsidR="00457DA0" w:rsidRPr="00457DA0" w:rsidRDefault="00457DA0" w:rsidP="00E92BB2">
      <w:pPr>
        <w:pStyle w:val="Paragraphedeliste"/>
        <w:autoSpaceDE w:val="0"/>
        <w:autoSpaceDN w:val="0"/>
        <w:adjustRightInd w:val="0"/>
        <w:spacing w:after="0" w:line="240" w:lineRule="auto"/>
        <w:ind w:left="0"/>
        <w:jc w:val="both"/>
        <w:rPr>
          <w:rFonts w:ascii="Verdana" w:hAnsi="Verdana"/>
        </w:rPr>
      </w:pPr>
    </w:p>
    <w:p w:rsidR="004D01E0" w:rsidRPr="00457DA0" w:rsidRDefault="004D01E0" w:rsidP="00E92BB2">
      <w:pPr>
        <w:pStyle w:val="Paragraphedeliste"/>
        <w:numPr>
          <w:ilvl w:val="1"/>
          <w:numId w:val="1"/>
        </w:numPr>
        <w:autoSpaceDE w:val="0"/>
        <w:autoSpaceDN w:val="0"/>
        <w:adjustRightInd w:val="0"/>
        <w:spacing w:after="0" w:line="240" w:lineRule="auto"/>
        <w:ind w:left="0" w:firstLine="0"/>
        <w:jc w:val="both"/>
        <w:rPr>
          <w:rFonts w:ascii="Verdana" w:hAnsi="Verdana"/>
        </w:rPr>
      </w:pPr>
      <w:r w:rsidRPr="00457DA0">
        <w:rPr>
          <w:rFonts w:ascii="Verdana" w:hAnsi="Verdana"/>
        </w:rPr>
        <w:t>Tout appel d’offres doit prévoir que le soumissionnaire doit, pour tout renseignement, s’adresser au responsable en octroi de contrat dont les coordonnées apparaissent à l’appel d’offres.</w:t>
      </w:r>
    </w:p>
    <w:p w:rsidR="00457DA0" w:rsidRPr="00457DA0" w:rsidRDefault="00457DA0" w:rsidP="00E92BB2">
      <w:pPr>
        <w:pStyle w:val="Paragraphedeliste"/>
        <w:autoSpaceDE w:val="0"/>
        <w:autoSpaceDN w:val="0"/>
        <w:adjustRightInd w:val="0"/>
        <w:spacing w:after="0" w:line="240" w:lineRule="auto"/>
        <w:ind w:left="0"/>
        <w:jc w:val="both"/>
        <w:rPr>
          <w:rFonts w:ascii="Verdana" w:hAnsi="Verdana"/>
        </w:rPr>
      </w:pPr>
    </w:p>
    <w:p w:rsidR="004D01E0" w:rsidRPr="004D01E0" w:rsidRDefault="004D01E0" w:rsidP="00E92BB2">
      <w:pPr>
        <w:autoSpaceDE w:val="0"/>
        <w:autoSpaceDN w:val="0"/>
        <w:adjustRightInd w:val="0"/>
        <w:spacing w:after="0" w:line="240" w:lineRule="auto"/>
        <w:jc w:val="both"/>
        <w:rPr>
          <w:rFonts w:ascii="Verdana" w:hAnsi="Verdana"/>
        </w:rPr>
      </w:pPr>
      <w:r w:rsidRPr="004D01E0">
        <w:rPr>
          <w:rFonts w:ascii="Verdana" w:hAnsi="Verdana"/>
        </w:rPr>
        <w:t xml:space="preserve">1.3 </w:t>
      </w:r>
      <w:r w:rsidR="00457DA0">
        <w:rPr>
          <w:rFonts w:ascii="Verdana" w:hAnsi="Verdana"/>
        </w:rPr>
        <w:t xml:space="preserve">  </w:t>
      </w:r>
      <w:r w:rsidRPr="004D01E0">
        <w:rPr>
          <w:rFonts w:ascii="Verdana" w:hAnsi="Verdana"/>
        </w:rPr>
        <w:t>Tout soumissionnaire doit déclarer, par un écrit qu’il doit joindre à sa soumission, que ni lui, ni aucun collaborateur ou employé n’a communiqué ou tenté de communiquer avec un membre du comité de sélection, autre que le responsable en octroi de contrat, dans le but de l’influencer ou d’obtenir des renseignements relativement à l’appel d’offres. Le défaut de produire cette déclaration a pour effet d’entraîner le rejet de la soumission.</w:t>
      </w:r>
    </w:p>
    <w:p w:rsidR="004D01E0" w:rsidRDefault="004D01E0" w:rsidP="004D01E0">
      <w:pPr>
        <w:autoSpaceDE w:val="0"/>
        <w:autoSpaceDN w:val="0"/>
        <w:adjustRightInd w:val="0"/>
        <w:spacing w:after="0" w:line="240" w:lineRule="auto"/>
        <w:jc w:val="both"/>
        <w:rPr>
          <w:rFonts w:ascii="Verdana" w:hAnsi="Verdana"/>
        </w:rPr>
      </w:pPr>
    </w:p>
    <w:p w:rsidR="00457DA0" w:rsidRPr="004D01E0" w:rsidRDefault="00457DA0" w:rsidP="004D01E0">
      <w:pPr>
        <w:autoSpaceDE w:val="0"/>
        <w:autoSpaceDN w:val="0"/>
        <w:adjustRightInd w:val="0"/>
        <w:spacing w:after="0" w:line="240" w:lineRule="auto"/>
        <w:jc w:val="both"/>
        <w:rPr>
          <w:rFonts w:ascii="Verdana" w:hAnsi="Verdana"/>
        </w:rPr>
      </w:pPr>
    </w:p>
    <w:p w:rsidR="004D01E0" w:rsidRDefault="004D01E0" w:rsidP="004D01E0">
      <w:pPr>
        <w:autoSpaceDE w:val="0"/>
        <w:autoSpaceDN w:val="0"/>
        <w:adjustRightInd w:val="0"/>
        <w:spacing w:after="0" w:line="240" w:lineRule="auto"/>
        <w:jc w:val="both"/>
        <w:rPr>
          <w:rFonts w:ascii="Verdana" w:hAnsi="Verdana"/>
          <w:b/>
          <w:u w:val="single"/>
        </w:rPr>
      </w:pPr>
      <w:r w:rsidRPr="004D01E0">
        <w:rPr>
          <w:rFonts w:ascii="Verdana" w:hAnsi="Verdana"/>
          <w:b/>
          <w:u w:val="single"/>
        </w:rPr>
        <w:t>ENSEMBLE DE MESURES NO 2</w:t>
      </w:r>
    </w:p>
    <w:p w:rsidR="004D01E0" w:rsidRPr="004D01E0" w:rsidRDefault="004D01E0" w:rsidP="004D01E0">
      <w:pPr>
        <w:autoSpaceDE w:val="0"/>
        <w:autoSpaceDN w:val="0"/>
        <w:adjustRightInd w:val="0"/>
        <w:spacing w:after="0" w:line="240" w:lineRule="auto"/>
        <w:jc w:val="both"/>
        <w:rPr>
          <w:rFonts w:ascii="Verdana" w:hAnsi="Verdana"/>
          <w:b/>
          <w:u w:val="single"/>
        </w:rPr>
      </w:pPr>
    </w:p>
    <w:p w:rsidR="004D01E0" w:rsidRPr="004D01E0" w:rsidRDefault="004D01E0" w:rsidP="004D01E0">
      <w:pPr>
        <w:autoSpaceDE w:val="0"/>
        <w:autoSpaceDN w:val="0"/>
        <w:adjustRightInd w:val="0"/>
        <w:spacing w:after="0" w:line="240" w:lineRule="auto"/>
        <w:jc w:val="both"/>
        <w:rPr>
          <w:rFonts w:ascii="Verdana" w:hAnsi="Verdana"/>
          <w:b/>
        </w:rPr>
      </w:pPr>
      <w:r w:rsidRPr="004D01E0">
        <w:rPr>
          <w:rFonts w:ascii="Verdana" w:hAnsi="Verdana"/>
          <w:b/>
        </w:rPr>
        <w:t>Mesures favorisant le respect des lois applicables qui visent à lutter contre le trucage des</w:t>
      </w:r>
      <w:r w:rsidR="00457DA0">
        <w:rPr>
          <w:rFonts w:ascii="Verdana" w:hAnsi="Verdana"/>
          <w:b/>
        </w:rPr>
        <w:t xml:space="preserve"> </w:t>
      </w:r>
      <w:r w:rsidRPr="004D01E0">
        <w:rPr>
          <w:rFonts w:ascii="Verdana" w:hAnsi="Verdana"/>
          <w:b/>
        </w:rPr>
        <w:t>offres.</w:t>
      </w:r>
    </w:p>
    <w:p w:rsidR="004D01E0" w:rsidRDefault="004D01E0">
      <w:pPr>
        <w:autoSpaceDE w:val="0"/>
        <w:autoSpaceDN w:val="0"/>
        <w:adjustRightInd w:val="0"/>
        <w:spacing w:after="0" w:line="240" w:lineRule="auto"/>
        <w:jc w:val="both"/>
        <w:rPr>
          <w:rFonts w:ascii="Verdana" w:hAnsi="Verdana"/>
          <w:b/>
        </w:rPr>
      </w:pPr>
    </w:p>
    <w:p w:rsidR="00457DA0" w:rsidRDefault="00457DA0" w:rsidP="00457DA0">
      <w:pPr>
        <w:autoSpaceDE w:val="0"/>
        <w:autoSpaceDN w:val="0"/>
        <w:adjustRightInd w:val="0"/>
        <w:spacing w:after="0" w:line="240" w:lineRule="auto"/>
        <w:jc w:val="both"/>
        <w:rPr>
          <w:rFonts w:ascii="Verdana" w:hAnsi="Verdana"/>
        </w:rPr>
      </w:pPr>
      <w:r w:rsidRPr="00457DA0">
        <w:rPr>
          <w:rFonts w:ascii="Verdana" w:hAnsi="Verdana"/>
        </w:rPr>
        <w:t>2.1 Informer et sensibiliser les employés et les membres du conseil relativement aux normes de</w:t>
      </w:r>
      <w:r>
        <w:rPr>
          <w:rFonts w:ascii="Verdana" w:hAnsi="Verdana"/>
        </w:rPr>
        <w:t xml:space="preserve"> </w:t>
      </w:r>
      <w:r w:rsidRPr="00457DA0">
        <w:rPr>
          <w:rFonts w:ascii="Verdana" w:hAnsi="Verdana"/>
        </w:rPr>
        <w:t>confidentialité.</w:t>
      </w:r>
    </w:p>
    <w:p w:rsidR="00E92BB2" w:rsidRPr="00457DA0" w:rsidRDefault="00E92BB2" w:rsidP="00457DA0">
      <w:pPr>
        <w:autoSpaceDE w:val="0"/>
        <w:autoSpaceDN w:val="0"/>
        <w:adjustRightInd w:val="0"/>
        <w:spacing w:after="0" w:line="240" w:lineRule="auto"/>
        <w:jc w:val="both"/>
        <w:rPr>
          <w:rFonts w:ascii="Verdana" w:hAnsi="Verdana"/>
        </w:rPr>
      </w:pPr>
    </w:p>
    <w:p w:rsidR="00457DA0" w:rsidRDefault="00457DA0" w:rsidP="00457DA0">
      <w:pPr>
        <w:autoSpaceDE w:val="0"/>
        <w:autoSpaceDN w:val="0"/>
        <w:adjustRightInd w:val="0"/>
        <w:spacing w:after="0" w:line="240" w:lineRule="auto"/>
        <w:jc w:val="both"/>
        <w:rPr>
          <w:rFonts w:ascii="Verdana" w:hAnsi="Verdana"/>
        </w:rPr>
      </w:pPr>
      <w:r w:rsidRPr="00457DA0">
        <w:rPr>
          <w:rFonts w:ascii="Verdana" w:hAnsi="Verdana"/>
        </w:rPr>
        <w:t>2.2 Assurer la formation des employés et des membres du conseil relativement aux normes de</w:t>
      </w:r>
      <w:r>
        <w:rPr>
          <w:rFonts w:ascii="Verdana" w:hAnsi="Verdana"/>
        </w:rPr>
        <w:t xml:space="preserve"> </w:t>
      </w:r>
      <w:r w:rsidRPr="00457DA0">
        <w:rPr>
          <w:rFonts w:ascii="Verdana" w:hAnsi="Verdana"/>
        </w:rPr>
        <w:t>confidentialité.</w:t>
      </w:r>
    </w:p>
    <w:p w:rsidR="00E92BB2" w:rsidRPr="00457DA0" w:rsidRDefault="00E92BB2" w:rsidP="00457DA0">
      <w:pPr>
        <w:autoSpaceDE w:val="0"/>
        <w:autoSpaceDN w:val="0"/>
        <w:adjustRightInd w:val="0"/>
        <w:spacing w:after="0" w:line="240" w:lineRule="auto"/>
        <w:jc w:val="both"/>
        <w:rPr>
          <w:rFonts w:ascii="Verdana" w:hAnsi="Verdana"/>
        </w:rPr>
      </w:pPr>
    </w:p>
    <w:p w:rsidR="00457DA0" w:rsidRDefault="00457DA0" w:rsidP="00457DA0">
      <w:pPr>
        <w:autoSpaceDE w:val="0"/>
        <w:autoSpaceDN w:val="0"/>
        <w:adjustRightInd w:val="0"/>
        <w:spacing w:after="0" w:line="240" w:lineRule="auto"/>
        <w:jc w:val="both"/>
        <w:rPr>
          <w:rFonts w:ascii="Verdana" w:hAnsi="Verdana"/>
        </w:rPr>
      </w:pPr>
      <w:r w:rsidRPr="00457DA0">
        <w:rPr>
          <w:rFonts w:ascii="Verdana" w:hAnsi="Verdana"/>
        </w:rPr>
        <w:t>2.3 Insérer dans tout document d’appel d’offres une mesure relative aux pratiques</w:t>
      </w:r>
      <w:r>
        <w:rPr>
          <w:rFonts w:ascii="Verdana" w:hAnsi="Verdana"/>
        </w:rPr>
        <w:t xml:space="preserve"> </w:t>
      </w:r>
      <w:r w:rsidRPr="00457DA0">
        <w:rPr>
          <w:rFonts w:ascii="Verdana" w:hAnsi="Verdana"/>
        </w:rPr>
        <w:t>anticoncurrentielles. La mesure est ce qui suit :</w:t>
      </w:r>
    </w:p>
    <w:p w:rsidR="00457DA0" w:rsidRPr="00457DA0" w:rsidRDefault="00457DA0" w:rsidP="00457DA0">
      <w:pPr>
        <w:autoSpaceDE w:val="0"/>
        <w:autoSpaceDN w:val="0"/>
        <w:adjustRightInd w:val="0"/>
        <w:spacing w:after="0" w:line="240" w:lineRule="auto"/>
        <w:jc w:val="both"/>
        <w:rPr>
          <w:rFonts w:ascii="Verdana" w:hAnsi="Verdana"/>
        </w:rPr>
      </w:pPr>
    </w:p>
    <w:p w:rsidR="00457DA0" w:rsidRPr="00E25E61" w:rsidRDefault="00457DA0" w:rsidP="00457DA0">
      <w:pPr>
        <w:autoSpaceDE w:val="0"/>
        <w:autoSpaceDN w:val="0"/>
        <w:adjustRightInd w:val="0"/>
        <w:spacing w:after="0" w:line="240" w:lineRule="auto"/>
        <w:jc w:val="both"/>
        <w:rPr>
          <w:rFonts w:ascii="Verdana" w:hAnsi="Verdana"/>
          <w:sz w:val="18"/>
          <w:szCs w:val="18"/>
        </w:rPr>
      </w:pPr>
      <w:r w:rsidRPr="00E25E61">
        <w:rPr>
          <w:rFonts w:ascii="Verdana" w:hAnsi="Verdana"/>
          <w:sz w:val="18"/>
          <w:szCs w:val="18"/>
        </w:rPr>
        <w:t>«Le fournisseur, du seul fait du dépôt de sa soumission, déclare ne pas avoir, dans le contexte du présent appel d’offres, agi à l’encontre de la Loi fédérale sur la concurrence (L.R., 1985, ch. C-34), laquelle stipule notamment que constitue un acte criminel le fait de participer à un truquage des soumissions, à savoir :</w:t>
      </w:r>
    </w:p>
    <w:p w:rsidR="00457DA0" w:rsidRPr="00E25E61" w:rsidRDefault="00457DA0" w:rsidP="00457DA0">
      <w:pPr>
        <w:autoSpaceDE w:val="0"/>
        <w:autoSpaceDN w:val="0"/>
        <w:adjustRightInd w:val="0"/>
        <w:spacing w:after="0" w:line="240" w:lineRule="auto"/>
        <w:jc w:val="both"/>
        <w:rPr>
          <w:rFonts w:ascii="Verdana" w:hAnsi="Verdana"/>
          <w:sz w:val="18"/>
          <w:szCs w:val="18"/>
        </w:rPr>
      </w:pPr>
    </w:p>
    <w:p w:rsidR="00457DA0" w:rsidRPr="00E25E61" w:rsidRDefault="00457DA0" w:rsidP="00770828">
      <w:pPr>
        <w:pStyle w:val="Paragraphedeliste"/>
        <w:numPr>
          <w:ilvl w:val="0"/>
          <w:numId w:val="2"/>
        </w:numPr>
        <w:autoSpaceDE w:val="0"/>
        <w:autoSpaceDN w:val="0"/>
        <w:adjustRightInd w:val="0"/>
        <w:spacing w:after="0" w:line="240" w:lineRule="auto"/>
        <w:ind w:left="426" w:hanging="284"/>
        <w:jc w:val="both"/>
        <w:rPr>
          <w:rFonts w:ascii="Verdana" w:hAnsi="Verdana"/>
          <w:sz w:val="18"/>
          <w:szCs w:val="18"/>
        </w:rPr>
      </w:pPr>
      <w:r w:rsidRPr="00E25E61">
        <w:rPr>
          <w:rFonts w:ascii="Verdana" w:hAnsi="Verdana"/>
          <w:sz w:val="18"/>
          <w:szCs w:val="18"/>
        </w:rPr>
        <w:t>l’accord ou arrangement entre plusieurs personnes par lequel au moins l’une d’elles consent ou s’engage à ne pas présenter de soumission en réponse à un appel d’offres;</w:t>
      </w:r>
    </w:p>
    <w:p w:rsidR="00457DA0" w:rsidRPr="00E25E61" w:rsidRDefault="00457DA0" w:rsidP="00770828">
      <w:pPr>
        <w:autoSpaceDE w:val="0"/>
        <w:autoSpaceDN w:val="0"/>
        <w:adjustRightInd w:val="0"/>
        <w:spacing w:after="0" w:line="240" w:lineRule="auto"/>
        <w:ind w:left="426" w:hanging="284"/>
        <w:jc w:val="both"/>
        <w:rPr>
          <w:rFonts w:ascii="Verdana" w:hAnsi="Verdana"/>
          <w:sz w:val="18"/>
          <w:szCs w:val="18"/>
        </w:rPr>
      </w:pPr>
    </w:p>
    <w:p w:rsidR="00457DA0" w:rsidRPr="00E25E61" w:rsidRDefault="00457DA0" w:rsidP="00770828">
      <w:pPr>
        <w:pStyle w:val="Paragraphedeliste"/>
        <w:numPr>
          <w:ilvl w:val="0"/>
          <w:numId w:val="2"/>
        </w:numPr>
        <w:autoSpaceDE w:val="0"/>
        <w:autoSpaceDN w:val="0"/>
        <w:adjustRightInd w:val="0"/>
        <w:spacing w:after="0" w:line="240" w:lineRule="auto"/>
        <w:ind w:left="426" w:hanging="284"/>
        <w:jc w:val="both"/>
        <w:rPr>
          <w:rFonts w:ascii="Verdana" w:hAnsi="Verdana"/>
          <w:sz w:val="18"/>
          <w:szCs w:val="18"/>
        </w:rPr>
      </w:pPr>
      <w:r w:rsidRPr="00E25E61">
        <w:rPr>
          <w:rFonts w:ascii="Verdana" w:hAnsi="Verdana"/>
          <w:sz w:val="18"/>
          <w:szCs w:val="18"/>
        </w:rPr>
        <w:t>la présentation de soumissions qui sont le fruit d’un accord ou arrangement entre plusieurs soumissionnaires.</w:t>
      </w:r>
    </w:p>
    <w:p w:rsidR="00457DA0" w:rsidRPr="00E25E61" w:rsidRDefault="00457DA0" w:rsidP="00770828">
      <w:pPr>
        <w:autoSpaceDE w:val="0"/>
        <w:autoSpaceDN w:val="0"/>
        <w:adjustRightInd w:val="0"/>
        <w:spacing w:after="0" w:line="240" w:lineRule="auto"/>
        <w:ind w:left="426" w:hanging="284"/>
        <w:jc w:val="both"/>
        <w:rPr>
          <w:rFonts w:ascii="Verdana" w:hAnsi="Verdana"/>
          <w:sz w:val="18"/>
          <w:szCs w:val="18"/>
        </w:rPr>
      </w:pPr>
    </w:p>
    <w:p w:rsidR="00457DA0" w:rsidRPr="00E25E61" w:rsidRDefault="00457DA0" w:rsidP="00457DA0">
      <w:pPr>
        <w:autoSpaceDE w:val="0"/>
        <w:autoSpaceDN w:val="0"/>
        <w:adjustRightInd w:val="0"/>
        <w:spacing w:after="0" w:line="240" w:lineRule="auto"/>
        <w:jc w:val="both"/>
        <w:rPr>
          <w:rFonts w:ascii="Verdana" w:hAnsi="Verdana"/>
          <w:sz w:val="18"/>
          <w:szCs w:val="18"/>
        </w:rPr>
      </w:pPr>
      <w:r w:rsidRPr="00E25E61">
        <w:rPr>
          <w:rFonts w:ascii="Verdana" w:hAnsi="Verdana"/>
          <w:sz w:val="18"/>
          <w:szCs w:val="18"/>
        </w:rPr>
        <w:t>Le fournisseur déclare, en conséquence, qu’il n’y a pas eu, en contravention de la Loi précitée, de communication, d’entente ou d’arrangement avec un concurrent relativement aux prix, aux méthodes, aux</w:t>
      </w:r>
      <w:r w:rsidR="00E25E61">
        <w:rPr>
          <w:rFonts w:ascii="Verdana" w:hAnsi="Verdana"/>
          <w:sz w:val="18"/>
          <w:szCs w:val="18"/>
        </w:rPr>
        <w:t xml:space="preserve"> </w:t>
      </w:r>
      <w:r w:rsidRPr="00E25E61">
        <w:rPr>
          <w:rFonts w:ascii="Verdana" w:hAnsi="Verdana"/>
          <w:sz w:val="18"/>
          <w:szCs w:val="18"/>
        </w:rPr>
        <w:t>facteurs ou aux formules pour établir les prix, à la décision de présenter ou de ne pas présenter une soumission ainsi qu’à la présentation d’une soumission qui ne répond pas aux spécifications de l’appel d’offres.</w:t>
      </w:r>
    </w:p>
    <w:p w:rsidR="00457DA0" w:rsidRPr="00E25E61" w:rsidRDefault="00457DA0" w:rsidP="00457DA0">
      <w:pPr>
        <w:autoSpaceDE w:val="0"/>
        <w:autoSpaceDN w:val="0"/>
        <w:adjustRightInd w:val="0"/>
        <w:spacing w:after="0" w:line="240" w:lineRule="auto"/>
        <w:jc w:val="both"/>
        <w:rPr>
          <w:rFonts w:ascii="Verdana" w:hAnsi="Verdana"/>
          <w:sz w:val="18"/>
          <w:szCs w:val="18"/>
        </w:rPr>
      </w:pPr>
    </w:p>
    <w:p w:rsidR="00457DA0" w:rsidRPr="00E25E61" w:rsidRDefault="00457DA0" w:rsidP="00457DA0">
      <w:pPr>
        <w:autoSpaceDE w:val="0"/>
        <w:autoSpaceDN w:val="0"/>
        <w:adjustRightInd w:val="0"/>
        <w:spacing w:after="0" w:line="240" w:lineRule="auto"/>
        <w:jc w:val="both"/>
        <w:rPr>
          <w:rFonts w:ascii="Verdana" w:hAnsi="Verdana"/>
          <w:sz w:val="18"/>
          <w:szCs w:val="18"/>
        </w:rPr>
      </w:pPr>
      <w:r w:rsidRPr="00E25E61">
        <w:rPr>
          <w:rFonts w:ascii="Verdana" w:hAnsi="Verdana"/>
          <w:sz w:val="18"/>
          <w:szCs w:val="18"/>
        </w:rPr>
        <w:lastRenderedPageBreak/>
        <w:t>Le truquage des soumissions est une pratique commerciale illégale suivant la Loi fédérale sur la concurrence  (L.R., 1985, ch. C-34). Il s’agit en soi d’une forme de fixation des prix. Quiconque participe à un truquage de soumissions commet un acte criminel et encourt, sur déclaration de culpabilité, l’amende que le tribunal estime indiquée et un emprisonnement maximal de quatorze (14) ans, ou l’une de ces peines.».</w:t>
      </w:r>
    </w:p>
    <w:p w:rsidR="00770828" w:rsidRDefault="00770828" w:rsidP="00457DA0">
      <w:pPr>
        <w:autoSpaceDE w:val="0"/>
        <w:autoSpaceDN w:val="0"/>
        <w:adjustRightInd w:val="0"/>
        <w:spacing w:after="0" w:line="240" w:lineRule="auto"/>
        <w:jc w:val="both"/>
        <w:rPr>
          <w:rFonts w:ascii="Verdana" w:hAnsi="Verdana"/>
          <w:sz w:val="20"/>
          <w:szCs w:val="20"/>
        </w:rPr>
      </w:pPr>
    </w:p>
    <w:p w:rsidR="00E92BB2" w:rsidRDefault="00E92BB2" w:rsidP="00457DA0">
      <w:pPr>
        <w:autoSpaceDE w:val="0"/>
        <w:autoSpaceDN w:val="0"/>
        <w:adjustRightInd w:val="0"/>
        <w:spacing w:after="0" w:line="240" w:lineRule="auto"/>
        <w:jc w:val="both"/>
        <w:rPr>
          <w:rFonts w:ascii="Verdana" w:hAnsi="Verdana"/>
          <w:sz w:val="20"/>
          <w:szCs w:val="20"/>
        </w:rPr>
      </w:pPr>
    </w:p>
    <w:p w:rsidR="00CE5549" w:rsidRDefault="00CE5549" w:rsidP="00CE5549">
      <w:pPr>
        <w:autoSpaceDE w:val="0"/>
        <w:autoSpaceDN w:val="0"/>
        <w:adjustRightInd w:val="0"/>
        <w:spacing w:after="0" w:line="240" w:lineRule="auto"/>
        <w:jc w:val="both"/>
        <w:rPr>
          <w:rFonts w:ascii="Verdana" w:hAnsi="Verdana"/>
          <w:b/>
          <w:u w:val="single"/>
        </w:rPr>
      </w:pPr>
      <w:r w:rsidRPr="00CE5549">
        <w:rPr>
          <w:rFonts w:ascii="Verdana" w:hAnsi="Verdana"/>
          <w:b/>
          <w:u w:val="single"/>
        </w:rPr>
        <w:t>ENSEMBLE DE MESURES NO 3</w:t>
      </w:r>
    </w:p>
    <w:p w:rsidR="00E92BB2" w:rsidRPr="00CE5549" w:rsidRDefault="00E92BB2" w:rsidP="00CE5549">
      <w:pPr>
        <w:autoSpaceDE w:val="0"/>
        <w:autoSpaceDN w:val="0"/>
        <w:adjustRightInd w:val="0"/>
        <w:spacing w:after="0" w:line="240" w:lineRule="auto"/>
        <w:jc w:val="both"/>
        <w:rPr>
          <w:rFonts w:ascii="Verdana" w:hAnsi="Verdana"/>
          <w:b/>
          <w:u w:val="single"/>
        </w:rPr>
      </w:pPr>
    </w:p>
    <w:p w:rsidR="00CE5549" w:rsidRDefault="00CE5549" w:rsidP="00CE5549">
      <w:pPr>
        <w:autoSpaceDE w:val="0"/>
        <w:autoSpaceDN w:val="0"/>
        <w:adjustRightInd w:val="0"/>
        <w:spacing w:after="0" w:line="240" w:lineRule="auto"/>
        <w:jc w:val="both"/>
        <w:rPr>
          <w:rFonts w:ascii="Verdana" w:hAnsi="Verdana"/>
          <w:b/>
        </w:rPr>
      </w:pPr>
      <w:r w:rsidRPr="00CE5549">
        <w:rPr>
          <w:rFonts w:ascii="Verdana" w:hAnsi="Verdana"/>
          <w:b/>
        </w:rPr>
        <w:t>Mesures visant à assurer le respect de la Loi sur la transparence et l’éthique en matière de</w:t>
      </w:r>
      <w:r w:rsidR="00E92BB2">
        <w:rPr>
          <w:rFonts w:ascii="Verdana" w:hAnsi="Verdana"/>
          <w:b/>
        </w:rPr>
        <w:t xml:space="preserve"> </w:t>
      </w:r>
      <w:r w:rsidRPr="00CE5549">
        <w:rPr>
          <w:rFonts w:ascii="Verdana" w:hAnsi="Verdana"/>
          <w:b/>
        </w:rPr>
        <w:t>lobbysme et du Code de déontologie des lobbyistes adopté en vertu de cette loi.</w:t>
      </w:r>
    </w:p>
    <w:p w:rsidR="00E92BB2" w:rsidRDefault="00E92BB2" w:rsidP="00CE5549">
      <w:pPr>
        <w:autoSpaceDE w:val="0"/>
        <w:autoSpaceDN w:val="0"/>
        <w:adjustRightInd w:val="0"/>
        <w:spacing w:after="0" w:line="240" w:lineRule="auto"/>
        <w:jc w:val="both"/>
        <w:rPr>
          <w:rFonts w:ascii="Verdana" w:hAnsi="Verdana"/>
          <w:b/>
        </w:rPr>
      </w:pPr>
    </w:p>
    <w:p w:rsidR="00512F2F" w:rsidRDefault="00512F2F" w:rsidP="00512F2F">
      <w:pPr>
        <w:autoSpaceDE w:val="0"/>
        <w:autoSpaceDN w:val="0"/>
        <w:adjustRightInd w:val="0"/>
        <w:spacing w:after="0" w:line="240" w:lineRule="auto"/>
        <w:jc w:val="both"/>
        <w:rPr>
          <w:rFonts w:ascii="Verdana" w:hAnsi="Verdana"/>
        </w:rPr>
      </w:pPr>
      <w:r>
        <w:rPr>
          <w:rFonts w:ascii="Verdana" w:hAnsi="Verdana"/>
        </w:rPr>
        <w:t xml:space="preserve">3.1 Tout membre du conseil ou tout employé s’assure que toute personne qui cherche à l’influencer est inscrite au registre des lobbyistes prévu par la Loi sur la transparence et l’éthique en matière de </w:t>
      </w:r>
      <w:proofErr w:type="spellStart"/>
      <w:r>
        <w:rPr>
          <w:rFonts w:ascii="Verdana" w:hAnsi="Verdana"/>
        </w:rPr>
        <w:t>lobbyisme</w:t>
      </w:r>
      <w:proofErr w:type="spellEnd"/>
      <w:r>
        <w:rPr>
          <w:rFonts w:ascii="Verdana" w:hAnsi="Verdana"/>
        </w:rPr>
        <w:t xml:space="preserve"> (</w:t>
      </w:r>
      <w:r w:rsidR="00B8231B">
        <w:rPr>
          <w:rFonts w:ascii="Verdana" w:hAnsi="Verdana"/>
        </w:rPr>
        <w:t>Loi).  Si la personne n’est pas inscrite au registre, il l’invite à le faire.</w:t>
      </w:r>
    </w:p>
    <w:p w:rsidR="00B8231B" w:rsidRDefault="00B8231B" w:rsidP="00512F2F">
      <w:pPr>
        <w:autoSpaceDE w:val="0"/>
        <w:autoSpaceDN w:val="0"/>
        <w:adjustRightInd w:val="0"/>
        <w:spacing w:after="0" w:line="240" w:lineRule="auto"/>
        <w:jc w:val="both"/>
        <w:rPr>
          <w:rFonts w:ascii="Verdana" w:hAnsi="Verdana"/>
        </w:rPr>
      </w:pPr>
    </w:p>
    <w:p w:rsidR="00B8231B" w:rsidRDefault="00B8231B" w:rsidP="00512F2F">
      <w:pPr>
        <w:autoSpaceDE w:val="0"/>
        <w:autoSpaceDN w:val="0"/>
        <w:adjustRightInd w:val="0"/>
        <w:spacing w:after="0" w:line="240" w:lineRule="auto"/>
        <w:jc w:val="both"/>
        <w:rPr>
          <w:rFonts w:ascii="Verdana" w:hAnsi="Verdana"/>
        </w:rPr>
      </w:pPr>
      <w:r>
        <w:rPr>
          <w:rFonts w:ascii="Verdana" w:hAnsi="Verdana"/>
        </w:rPr>
        <w:t xml:space="preserve">3.2 Si une personne refuse de s’inscrire au registre des lobbyistes ou de respecter la Loi ou le Code de déontologie des lobbyistes (Code), le membre du conseil ou l’employé s’abstient de traiter avec cette personne et, s’il y a lieu, communique avec le Commissaire au </w:t>
      </w:r>
      <w:proofErr w:type="spellStart"/>
      <w:r>
        <w:rPr>
          <w:rFonts w:ascii="Verdana" w:hAnsi="Verdana"/>
        </w:rPr>
        <w:t>lobbyisme</w:t>
      </w:r>
      <w:proofErr w:type="spellEnd"/>
      <w:r>
        <w:rPr>
          <w:rFonts w:ascii="Verdana" w:hAnsi="Verdana"/>
        </w:rPr>
        <w:t>.</w:t>
      </w:r>
    </w:p>
    <w:p w:rsidR="00B8231B" w:rsidRPr="00512F2F" w:rsidRDefault="00B8231B" w:rsidP="00512F2F">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3.</w:t>
      </w:r>
      <w:r w:rsidR="00B8231B">
        <w:rPr>
          <w:rFonts w:ascii="Verdana" w:hAnsi="Verdana"/>
        </w:rPr>
        <w:t>3</w:t>
      </w:r>
      <w:r w:rsidRPr="00CE5549">
        <w:rPr>
          <w:rFonts w:ascii="Verdana" w:hAnsi="Verdana"/>
        </w:rPr>
        <w:t xml:space="preserve"> Tout soumissionnaire doit déclarer, par un écrit qu’il doit joindre à sa soumission, que lui, et</w:t>
      </w:r>
      <w:r w:rsidR="00E92BB2">
        <w:rPr>
          <w:rFonts w:ascii="Verdana" w:hAnsi="Verdana"/>
        </w:rPr>
        <w:t xml:space="preserve"> </w:t>
      </w:r>
      <w:r w:rsidRPr="00CE5549">
        <w:rPr>
          <w:rFonts w:ascii="Verdana" w:hAnsi="Verdana"/>
        </w:rPr>
        <w:t xml:space="preserve">tout collaborateur ou employé, a respecté la loi sur le </w:t>
      </w:r>
      <w:proofErr w:type="spellStart"/>
      <w:r w:rsidRPr="00CE5549">
        <w:rPr>
          <w:rFonts w:ascii="Verdana" w:hAnsi="Verdana"/>
        </w:rPr>
        <w:t>lobbyisme</w:t>
      </w:r>
      <w:proofErr w:type="spellEnd"/>
      <w:r w:rsidRPr="00CE5549">
        <w:rPr>
          <w:rFonts w:ascii="Verdana" w:hAnsi="Verdana"/>
        </w:rPr>
        <w:t xml:space="preserve"> en rapport avec cet appel</w:t>
      </w:r>
      <w:r w:rsidR="00E92BB2">
        <w:rPr>
          <w:rFonts w:ascii="Verdana" w:hAnsi="Verdana"/>
        </w:rPr>
        <w:t xml:space="preserve"> </w:t>
      </w:r>
      <w:r w:rsidRPr="00CE5549">
        <w:rPr>
          <w:rFonts w:ascii="Verdana" w:hAnsi="Verdana"/>
        </w:rPr>
        <w:t>d’offres</w:t>
      </w:r>
      <w:r w:rsidR="00512F2F">
        <w:rPr>
          <w:rFonts w:ascii="Verdana" w:hAnsi="Verdana"/>
        </w:rPr>
        <w:t>, que ni lui ni aucun de ses représentant ne s’est livré à une communication d’influence aux fins de l’attribution du contrat ou, si une communication d’influence a eu lieu, que l’inscription au registre des lobbyistes a été faite et que la Loi et le Code ont été respectés</w:t>
      </w:r>
      <w:r w:rsidRPr="00CE5549">
        <w:rPr>
          <w:rFonts w:ascii="Verdana" w:hAnsi="Verdana"/>
        </w:rPr>
        <w:t>.</w:t>
      </w:r>
      <w:r w:rsidR="00512F2F">
        <w:rPr>
          <w:rFonts w:ascii="Verdana" w:hAnsi="Verdana"/>
        </w:rPr>
        <w:t xml:space="preserve"> </w:t>
      </w:r>
      <w:r w:rsidRPr="00CE5549">
        <w:rPr>
          <w:rFonts w:ascii="Verdana" w:hAnsi="Verdana"/>
        </w:rPr>
        <w:t xml:space="preserve"> Le défaut de produire cette déclaration a pour effet d’entraîner le rejet de la</w:t>
      </w:r>
      <w:r w:rsidR="00E92BB2">
        <w:rPr>
          <w:rFonts w:ascii="Verdana" w:hAnsi="Verdana"/>
        </w:rPr>
        <w:t xml:space="preserve"> </w:t>
      </w:r>
      <w:r w:rsidRPr="00CE5549">
        <w:rPr>
          <w:rFonts w:ascii="Verdana" w:hAnsi="Verdana"/>
        </w:rPr>
        <w:t>soumission</w:t>
      </w:r>
      <w:r w:rsidR="00512F2F">
        <w:rPr>
          <w:rFonts w:ascii="Verdana" w:hAnsi="Verdana"/>
        </w:rPr>
        <w:t>, de ne pas conclure le contrat ou de le résilier si le non-respect est découvert après l’attribution du contrat</w:t>
      </w:r>
      <w:r w:rsidRPr="00CE5549">
        <w:rPr>
          <w:rFonts w:ascii="Verdana" w:hAnsi="Verdana"/>
        </w:rPr>
        <w:t>.</w:t>
      </w:r>
    </w:p>
    <w:p w:rsidR="00E92BB2" w:rsidRPr="00CE5549" w:rsidRDefault="00E92BB2"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3.</w:t>
      </w:r>
      <w:r w:rsidR="00B8231B">
        <w:rPr>
          <w:rFonts w:ascii="Verdana" w:hAnsi="Verdana"/>
        </w:rPr>
        <w:t>4</w:t>
      </w:r>
      <w:r w:rsidRPr="00CE5549">
        <w:rPr>
          <w:rFonts w:ascii="Verdana" w:hAnsi="Verdana"/>
        </w:rPr>
        <w:t xml:space="preserve"> Le directeur général doit s’assurer d’informer les élus et le</w:t>
      </w:r>
      <w:r w:rsidR="00E92BB2">
        <w:rPr>
          <w:rFonts w:ascii="Verdana" w:hAnsi="Verdana"/>
        </w:rPr>
        <w:t xml:space="preserve"> </w:t>
      </w:r>
      <w:r w:rsidRPr="00CE5549">
        <w:rPr>
          <w:rFonts w:ascii="Verdana" w:hAnsi="Verdana"/>
        </w:rPr>
        <w:t xml:space="preserve">personnel administratif de la loi en matière de </w:t>
      </w:r>
      <w:proofErr w:type="spellStart"/>
      <w:r w:rsidRPr="00CE5549">
        <w:rPr>
          <w:rFonts w:ascii="Verdana" w:hAnsi="Verdana"/>
        </w:rPr>
        <w:t>lobbyisme</w:t>
      </w:r>
      <w:proofErr w:type="spellEnd"/>
      <w:r w:rsidR="00512F2F">
        <w:rPr>
          <w:rFonts w:ascii="Verdana" w:hAnsi="Verdana"/>
        </w:rPr>
        <w:t xml:space="preserve"> en leur procurant le guide d’information approprié</w:t>
      </w:r>
      <w:r w:rsidRPr="00CE5549">
        <w:rPr>
          <w:rFonts w:ascii="Verdana" w:hAnsi="Verdana"/>
        </w:rPr>
        <w:t>.</w:t>
      </w:r>
    </w:p>
    <w:p w:rsidR="00BF6586" w:rsidRDefault="00BF6586" w:rsidP="00CE5549">
      <w:pPr>
        <w:autoSpaceDE w:val="0"/>
        <w:autoSpaceDN w:val="0"/>
        <w:adjustRightInd w:val="0"/>
        <w:spacing w:after="0" w:line="240" w:lineRule="auto"/>
        <w:jc w:val="both"/>
        <w:rPr>
          <w:rFonts w:ascii="Verdana" w:hAnsi="Verdana"/>
        </w:rPr>
      </w:pPr>
    </w:p>
    <w:p w:rsidR="00E92BB2" w:rsidRDefault="00E92BB2"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b/>
          <w:u w:val="single"/>
        </w:rPr>
      </w:pPr>
      <w:r w:rsidRPr="00CE5549">
        <w:rPr>
          <w:rFonts w:ascii="Verdana" w:hAnsi="Verdana"/>
          <w:b/>
          <w:u w:val="single"/>
        </w:rPr>
        <w:t>ENSEMBLE DE MESURES NO 4</w:t>
      </w:r>
    </w:p>
    <w:p w:rsidR="00E92BB2" w:rsidRPr="00CE5549" w:rsidRDefault="00E92BB2" w:rsidP="00CE5549">
      <w:pPr>
        <w:autoSpaceDE w:val="0"/>
        <w:autoSpaceDN w:val="0"/>
        <w:adjustRightInd w:val="0"/>
        <w:spacing w:after="0" w:line="240" w:lineRule="auto"/>
        <w:jc w:val="both"/>
        <w:rPr>
          <w:rFonts w:ascii="Verdana" w:hAnsi="Verdana"/>
          <w:b/>
          <w:u w:val="single"/>
        </w:rPr>
      </w:pPr>
    </w:p>
    <w:p w:rsidR="00CE5549" w:rsidRDefault="00CE5549" w:rsidP="00CE5549">
      <w:pPr>
        <w:autoSpaceDE w:val="0"/>
        <w:autoSpaceDN w:val="0"/>
        <w:adjustRightInd w:val="0"/>
        <w:spacing w:after="0" w:line="240" w:lineRule="auto"/>
        <w:jc w:val="both"/>
        <w:rPr>
          <w:rFonts w:ascii="Verdana" w:hAnsi="Verdana"/>
          <w:b/>
        </w:rPr>
      </w:pPr>
      <w:r w:rsidRPr="00CE5549">
        <w:rPr>
          <w:rFonts w:ascii="Verdana" w:hAnsi="Verdana"/>
          <w:b/>
        </w:rPr>
        <w:t>Mesures ayant pour but de prévenir les gestes d’intimidation, de trafic d’influence ou de</w:t>
      </w:r>
      <w:r w:rsidR="00E92BB2">
        <w:rPr>
          <w:rFonts w:ascii="Verdana" w:hAnsi="Verdana"/>
          <w:b/>
        </w:rPr>
        <w:t xml:space="preserve"> </w:t>
      </w:r>
      <w:r w:rsidRPr="00CE5549">
        <w:rPr>
          <w:rFonts w:ascii="Verdana" w:hAnsi="Verdana"/>
          <w:b/>
        </w:rPr>
        <w:t>corruption.</w:t>
      </w:r>
    </w:p>
    <w:p w:rsidR="00E92BB2" w:rsidRPr="00CE5549" w:rsidRDefault="00E92BB2" w:rsidP="00CE5549">
      <w:pPr>
        <w:autoSpaceDE w:val="0"/>
        <w:autoSpaceDN w:val="0"/>
        <w:adjustRightInd w:val="0"/>
        <w:spacing w:after="0" w:line="240" w:lineRule="auto"/>
        <w:jc w:val="both"/>
        <w:rPr>
          <w:rFonts w:ascii="Verdana" w:hAnsi="Verdana"/>
          <w:b/>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4.1 Limiter le plus possible les visites de chantier en groupe, en offrant des plans et devis les</w:t>
      </w:r>
      <w:r w:rsidR="00E92BB2">
        <w:rPr>
          <w:rFonts w:ascii="Verdana" w:hAnsi="Verdana"/>
        </w:rPr>
        <w:t xml:space="preserve"> </w:t>
      </w:r>
      <w:r w:rsidRPr="00CE5549">
        <w:rPr>
          <w:rFonts w:ascii="Verdana" w:hAnsi="Verdana"/>
        </w:rPr>
        <w:t>plus complets possible.</w:t>
      </w:r>
    </w:p>
    <w:p w:rsidR="00E92BB2" w:rsidRPr="00CE5549" w:rsidRDefault="00E92BB2"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4.2 Intégrer à tout appel d’offres une clause à l’effet que le soumissionnaire du seul fait du</w:t>
      </w:r>
      <w:r w:rsidR="00E92BB2">
        <w:rPr>
          <w:rFonts w:ascii="Verdana" w:hAnsi="Verdana"/>
        </w:rPr>
        <w:t xml:space="preserve"> </w:t>
      </w:r>
      <w:r w:rsidRPr="00CE5549">
        <w:rPr>
          <w:rFonts w:ascii="Verdana" w:hAnsi="Verdana"/>
        </w:rPr>
        <w:t>dépôt de sa soumission, déclare ne pas avoir fait de gestes d’intimidation, de trafic</w:t>
      </w:r>
      <w:r w:rsidR="00E92BB2">
        <w:rPr>
          <w:rFonts w:ascii="Verdana" w:hAnsi="Verdana"/>
        </w:rPr>
        <w:t xml:space="preserve"> </w:t>
      </w:r>
      <w:r w:rsidRPr="00CE5549">
        <w:rPr>
          <w:rFonts w:ascii="Verdana" w:hAnsi="Verdana"/>
        </w:rPr>
        <w:t>d’influence ou de corruption en regard du présent contrat.</w:t>
      </w:r>
    </w:p>
    <w:p w:rsidR="00E25E61" w:rsidRDefault="00E25E61" w:rsidP="00CE5549">
      <w:pPr>
        <w:autoSpaceDE w:val="0"/>
        <w:autoSpaceDN w:val="0"/>
        <w:adjustRightInd w:val="0"/>
        <w:spacing w:after="0" w:line="240" w:lineRule="auto"/>
        <w:jc w:val="both"/>
        <w:rPr>
          <w:rFonts w:ascii="Verdana" w:hAnsi="Verdana"/>
        </w:rPr>
      </w:pPr>
    </w:p>
    <w:p w:rsidR="00E92BB2" w:rsidRDefault="00E92BB2" w:rsidP="00CE5549">
      <w:pPr>
        <w:autoSpaceDE w:val="0"/>
        <w:autoSpaceDN w:val="0"/>
        <w:adjustRightInd w:val="0"/>
        <w:spacing w:after="0" w:line="240" w:lineRule="auto"/>
        <w:jc w:val="both"/>
        <w:rPr>
          <w:rFonts w:ascii="Verdana" w:hAnsi="Verdana"/>
        </w:rPr>
      </w:pPr>
    </w:p>
    <w:p w:rsidR="008448FA" w:rsidRDefault="008448FA" w:rsidP="00CE5549">
      <w:pPr>
        <w:autoSpaceDE w:val="0"/>
        <w:autoSpaceDN w:val="0"/>
        <w:adjustRightInd w:val="0"/>
        <w:spacing w:after="0" w:line="240" w:lineRule="auto"/>
        <w:jc w:val="both"/>
        <w:rPr>
          <w:rFonts w:ascii="Verdana" w:hAnsi="Verdana"/>
        </w:rPr>
      </w:pPr>
    </w:p>
    <w:p w:rsidR="008448FA" w:rsidRPr="00CE5549" w:rsidRDefault="008448FA"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b/>
          <w:u w:val="single"/>
        </w:rPr>
      </w:pPr>
      <w:r w:rsidRPr="00CE5549">
        <w:rPr>
          <w:rFonts w:ascii="Verdana" w:hAnsi="Verdana"/>
          <w:b/>
          <w:u w:val="single"/>
        </w:rPr>
        <w:lastRenderedPageBreak/>
        <w:t>ENSEMBLE DE MESURES NO 5</w:t>
      </w:r>
    </w:p>
    <w:p w:rsidR="00E92BB2" w:rsidRPr="00CE5549" w:rsidRDefault="00E92BB2" w:rsidP="00CE5549">
      <w:pPr>
        <w:autoSpaceDE w:val="0"/>
        <w:autoSpaceDN w:val="0"/>
        <w:adjustRightInd w:val="0"/>
        <w:spacing w:after="0" w:line="240" w:lineRule="auto"/>
        <w:jc w:val="both"/>
        <w:rPr>
          <w:rFonts w:ascii="Verdana" w:hAnsi="Verdana"/>
          <w:b/>
          <w:u w:val="single"/>
        </w:rPr>
      </w:pPr>
    </w:p>
    <w:p w:rsidR="00CE5549" w:rsidRDefault="00CE5549" w:rsidP="00CE5549">
      <w:pPr>
        <w:autoSpaceDE w:val="0"/>
        <w:autoSpaceDN w:val="0"/>
        <w:adjustRightInd w:val="0"/>
        <w:spacing w:after="0" w:line="240" w:lineRule="auto"/>
        <w:jc w:val="both"/>
        <w:rPr>
          <w:rFonts w:ascii="Verdana" w:hAnsi="Verdana"/>
          <w:b/>
        </w:rPr>
      </w:pPr>
      <w:r w:rsidRPr="00CE5549">
        <w:rPr>
          <w:rFonts w:ascii="Verdana" w:hAnsi="Verdana"/>
          <w:b/>
        </w:rPr>
        <w:t>Mesures ayant pour but de prévenir les situations de conflits d’intérêts.</w:t>
      </w:r>
    </w:p>
    <w:p w:rsidR="00E92BB2" w:rsidRPr="00CE5549" w:rsidRDefault="00E92BB2" w:rsidP="00CE5549">
      <w:pPr>
        <w:autoSpaceDE w:val="0"/>
        <w:autoSpaceDN w:val="0"/>
        <w:adjustRightInd w:val="0"/>
        <w:spacing w:after="0" w:line="240" w:lineRule="auto"/>
        <w:jc w:val="both"/>
        <w:rPr>
          <w:rFonts w:ascii="Verdana" w:hAnsi="Verdana"/>
          <w:b/>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5.1 Chaque membre du comité de sélection doit remplir un engagement solennel à juger les</w:t>
      </w:r>
      <w:r w:rsidR="00E92BB2">
        <w:rPr>
          <w:rFonts w:ascii="Verdana" w:hAnsi="Verdana"/>
        </w:rPr>
        <w:t xml:space="preserve"> </w:t>
      </w:r>
      <w:r w:rsidRPr="00CE5549">
        <w:rPr>
          <w:rFonts w:ascii="Verdana" w:hAnsi="Verdana"/>
        </w:rPr>
        <w:t>offres avec impartialité et éthique.</w:t>
      </w:r>
    </w:p>
    <w:p w:rsidR="00E92BB2" w:rsidRPr="00CE5549" w:rsidRDefault="00E92BB2"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rPr>
      </w:pPr>
      <w:r w:rsidRPr="00CE5549">
        <w:rPr>
          <w:rFonts w:ascii="Verdana" w:hAnsi="Verdana"/>
        </w:rPr>
        <w:t>5.2 Déléguer au directeur général la responsabilité de constituer le comité de sélection.</w:t>
      </w:r>
    </w:p>
    <w:p w:rsidR="00E92BB2" w:rsidRDefault="00E92BB2" w:rsidP="00CE5549">
      <w:pPr>
        <w:autoSpaceDE w:val="0"/>
        <w:autoSpaceDN w:val="0"/>
        <w:adjustRightInd w:val="0"/>
        <w:spacing w:after="0" w:line="240" w:lineRule="auto"/>
        <w:jc w:val="both"/>
        <w:rPr>
          <w:rFonts w:ascii="Verdana" w:hAnsi="Verdana"/>
        </w:rPr>
      </w:pPr>
    </w:p>
    <w:p w:rsidR="00E92BB2" w:rsidRPr="00CE5549" w:rsidRDefault="00E92BB2" w:rsidP="00CE5549">
      <w:pPr>
        <w:autoSpaceDE w:val="0"/>
        <w:autoSpaceDN w:val="0"/>
        <w:adjustRightInd w:val="0"/>
        <w:spacing w:after="0" w:line="240" w:lineRule="auto"/>
        <w:jc w:val="both"/>
        <w:rPr>
          <w:rFonts w:ascii="Verdana" w:hAnsi="Verdana"/>
        </w:rPr>
      </w:pPr>
    </w:p>
    <w:p w:rsidR="00CE5549" w:rsidRDefault="00CE5549" w:rsidP="00CE5549">
      <w:pPr>
        <w:autoSpaceDE w:val="0"/>
        <w:autoSpaceDN w:val="0"/>
        <w:adjustRightInd w:val="0"/>
        <w:spacing w:after="0" w:line="240" w:lineRule="auto"/>
        <w:jc w:val="both"/>
        <w:rPr>
          <w:rFonts w:ascii="Verdana" w:hAnsi="Verdana"/>
          <w:b/>
          <w:u w:val="single"/>
        </w:rPr>
      </w:pPr>
      <w:r w:rsidRPr="00E92BB2">
        <w:rPr>
          <w:rFonts w:ascii="Verdana" w:hAnsi="Verdana"/>
          <w:b/>
          <w:u w:val="single"/>
        </w:rPr>
        <w:t>ENSEMBLE DE MESURES NO 6</w:t>
      </w:r>
    </w:p>
    <w:p w:rsidR="00E92BB2" w:rsidRPr="00E92BB2" w:rsidRDefault="00E92BB2" w:rsidP="00CE5549">
      <w:pPr>
        <w:autoSpaceDE w:val="0"/>
        <w:autoSpaceDN w:val="0"/>
        <w:adjustRightInd w:val="0"/>
        <w:spacing w:after="0" w:line="240" w:lineRule="auto"/>
        <w:jc w:val="both"/>
        <w:rPr>
          <w:rFonts w:ascii="Verdana" w:hAnsi="Verdana"/>
          <w:b/>
          <w:u w:val="single"/>
        </w:rPr>
      </w:pPr>
    </w:p>
    <w:p w:rsidR="00CE5549" w:rsidRDefault="00CE5549" w:rsidP="00CE5549">
      <w:pPr>
        <w:autoSpaceDE w:val="0"/>
        <w:autoSpaceDN w:val="0"/>
        <w:adjustRightInd w:val="0"/>
        <w:spacing w:after="0" w:line="240" w:lineRule="auto"/>
        <w:jc w:val="both"/>
        <w:rPr>
          <w:rFonts w:ascii="Verdana" w:hAnsi="Verdana"/>
          <w:b/>
        </w:rPr>
      </w:pPr>
      <w:r w:rsidRPr="00E92BB2">
        <w:rPr>
          <w:rFonts w:ascii="Verdana" w:hAnsi="Verdana"/>
          <w:b/>
        </w:rPr>
        <w:t>Des mesures ayant pour but de prévenir toute autre situation susceptible de compromettre</w:t>
      </w:r>
      <w:r w:rsidR="00E92BB2">
        <w:rPr>
          <w:rFonts w:ascii="Verdana" w:hAnsi="Verdana"/>
          <w:b/>
        </w:rPr>
        <w:t xml:space="preserve"> </w:t>
      </w:r>
      <w:r w:rsidRPr="00E92BB2">
        <w:rPr>
          <w:rFonts w:ascii="Verdana" w:hAnsi="Verdana"/>
          <w:b/>
        </w:rPr>
        <w:t>l’impartialité et l’objectivité du processus de demandes de soumissions et de la gestion du</w:t>
      </w:r>
      <w:r w:rsidR="00E92BB2">
        <w:rPr>
          <w:rFonts w:ascii="Verdana" w:hAnsi="Verdana"/>
          <w:b/>
        </w:rPr>
        <w:t xml:space="preserve"> </w:t>
      </w:r>
      <w:r w:rsidRPr="00E92BB2">
        <w:rPr>
          <w:rFonts w:ascii="Verdana" w:hAnsi="Verdana"/>
          <w:b/>
        </w:rPr>
        <w:t>contrat qui en résulte.</w:t>
      </w:r>
    </w:p>
    <w:p w:rsidR="00E92BB2" w:rsidRDefault="00E92BB2" w:rsidP="00CE5549">
      <w:pPr>
        <w:autoSpaceDE w:val="0"/>
        <w:autoSpaceDN w:val="0"/>
        <w:adjustRightInd w:val="0"/>
        <w:spacing w:after="0" w:line="240" w:lineRule="auto"/>
        <w:jc w:val="both"/>
        <w:rPr>
          <w:rFonts w:ascii="Verdana" w:hAnsi="Verdana"/>
        </w:rPr>
      </w:pPr>
    </w:p>
    <w:p w:rsidR="007929FB" w:rsidRDefault="007929FB" w:rsidP="007929FB">
      <w:pPr>
        <w:autoSpaceDE w:val="0"/>
        <w:autoSpaceDN w:val="0"/>
        <w:adjustRightInd w:val="0"/>
        <w:spacing w:after="0" w:line="240" w:lineRule="auto"/>
        <w:jc w:val="both"/>
        <w:rPr>
          <w:rFonts w:ascii="Verdana" w:hAnsi="Verdana"/>
        </w:rPr>
      </w:pPr>
      <w:r w:rsidRPr="007929FB">
        <w:rPr>
          <w:rFonts w:ascii="Verdana" w:hAnsi="Verdana"/>
        </w:rPr>
        <w:t>6.1 Ne pas divulguer le nom des membres du comité de sélection avant que l’évaluation des</w:t>
      </w:r>
      <w:r>
        <w:rPr>
          <w:rFonts w:ascii="Verdana" w:hAnsi="Verdana"/>
        </w:rPr>
        <w:t xml:space="preserve"> </w:t>
      </w:r>
      <w:r w:rsidRPr="007929FB">
        <w:rPr>
          <w:rFonts w:ascii="Verdana" w:hAnsi="Verdana"/>
        </w:rPr>
        <w:t>offres ne soit entièrement complétée.</w:t>
      </w:r>
    </w:p>
    <w:p w:rsidR="007929FB" w:rsidRPr="007929FB" w:rsidRDefault="007929FB" w:rsidP="007929FB">
      <w:pPr>
        <w:autoSpaceDE w:val="0"/>
        <w:autoSpaceDN w:val="0"/>
        <w:adjustRightInd w:val="0"/>
        <w:spacing w:after="0" w:line="240" w:lineRule="auto"/>
        <w:jc w:val="both"/>
        <w:rPr>
          <w:rFonts w:ascii="Verdana" w:hAnsi="Verdana"/>
        </w:rPr>
      </w:pPr>
    </w:p>
    <w:p w:rsidR="007929FB" w:rsidRDefault="007929FB" w:rsidP="007929FB">
      <w:pPr>
        <w:autoSpaceDE w:val="0"/>
        <w:autoSpaceDN w:val="0"/>
        <w:adjustRightInd w:val="0"/>
        <w:spacing w:after="0" w:line="240" w:lineRule="auto"/>
        <w:jc w:val="both"/>
        <w:rPr>
          <w:rFonts w:ascii="Verdana" w:hAnsi="Verdana"/>
        </w:rPr>
      </w:pPr>
      <w:r w:rsidRPr="007929FB">
        <w:rPr>
          <w:rFonts w:ascii="Verdana" w:hAnsi="Verdana"/>
        </w:rPr>
        <w:t>6.</w:t>
      </w:r>
      <w:r w:rsidR="00B8231B">
        <w:rPr>
          <w:rFonts w:ascii="Verdana" w:hAnsi="Verdana"/>
        </w:rPr>
        <w:t>2</w:t>
      </w:r>
      <w:r w:rsidRPr="007929FB">
        <w:rPr>
          <w:rFonts w:ascii="Verdana" w:hAnsi="Verdana"/>
        </w:rPr>
        <w:t xml:space="preserve"> Tout soumissionnaire doit déclarer, par un écrit qu’il doit joindre à sa soumission, que ni</w:t>
      </w:r>
      <w:r>
        <w:rPr>
          <w:rFonts w:ascii="Verdana" w:hAnsi="Verdana"/>
        </w:rPr>
        <w:t xml:space="preserve"> </w:t>
      </w:r>
      <w:r w:rsidRPr="007929FB">
        <w:rPr>
          <w:rFonts w:ascii="Verdana" w:hAnsi="Verdana"/>
        </w:rPr>
        <w:t>lui, ni aucun collaborateur ou employé, n’a communiqué ou tenté de communiquer avec un</w:t>
      </w:r>
      <w:r>
        <w:rPr>
          <w:rFonts w:ascii="Verdana" w:hAnsi="Verdana"/>
        </w:rPr>
        <w:t xml:space="preserve"> </w:t>
      </w:r>
      <w:r w:rsidRPr="007929FB">
        <w:rPr>
          <w:rFonts w:ascii="Verdana" w:hAnsi="Verdana"/>
        </w:rPr>
        <w:t>membre de l’organisme municipal, autre que le responsable en octroi de contrat, dans le</w:t>
      </w:r>
      <w:r>
        <w:rPr>
          <w:rFonts w:ascii="Verdana" w:hAnsi="Verdana"/>
        </w:rPr>
        <w:t xml:space="preserve"> </w:t>
      </w:r>
      <w:r w:rsidRPr="007929FB">
        <w:rPr>
          <w:rFonts w:ascii="Verdana" w:hAnsi="Verdana"/>
        </w:rPr>
        <w:t>but de l’influencer ou d’obtenir des renseignements relativement à l’appel d’offres. Le</w:t>
      </w:r>
      <w:r>
        <w:rPr>
          <w:rFonts w:ascii="Verdana" w:hAnsi="Verdana"/>
        </w:rPr>
        <w:t xml:space="preserve"> </w:t>
      </w:r>
      <w:r w:rsidRPr="007929FB">
        <w:rPr>
          <w:rFonts w:ascii="Verdana" w:hAnsi="Verdana"/>
        </w:rPr>
        <w:t>défaut de produire cette déclaration a pour effet d’entraîner le rejet de la soumission.</w:t>
      </w:r>
    </w:p>
    <w:p w:rsidR="007929FB" w:rsidRDefault="007929FB" w:rsidP="007929FB">
      <w:pPr>
        <w:autoSpaceDE w:val="0"/>
        <w:autoSpaceDN w:val="0"/>
        <w:adjustRightInd w:val="0"/>
        <w:spacing w:after="0" w:line="240" w:lineRule="auto"/>
        <w:jc w:val="both"/>
        <w:rPr>
          <w:rFonts w:ascii="Verdana" w:hAnsi="Verdana"/>
        </w:rPr>
      </w:pPr>
    </w:p>
    <w:p w:rsidR="007929FB" w:rsidRPr="007929FB" w:rsidRDefault="007929FB" w:rsidP="007929FB">
      <w:pPr>
        <w:autoSpaceDE w:val="0"/>
        <w:autoSpaceDN w:val="0"/>
        <w:adjustRightInd w:val="0"/>
        <w:spacing w:after="0" w:line="240" w:lineRule="auto"/>
        <w:jc w:val="both"/>
        <w:rPr>
          <w:rFonts w:ascii="Verdana" w:hAnsi="Verdana"/>
        </w:rPr>
      </w:pPr>
    </w:p>
    <w:p w:rsidR="007929FB" w:rsidRDefault="007929FB" w:rsidP="007929FB">
      <w:pPr>
        <w:autoSpaceDE w:val="0"/>
        <w:autoSpaceDN w:val="0"/>
        <w:adjustRightInd w:val="0"/>
        <w:spacing w:after="0" w:line="240" w:lineRule="auto"/>
        <w:jc w:val="both"/>
        <w:rPr>
          <w:rFonts w:ascii="Verdana" w:hAnsi="Verdana"/>
          <w:b/>
          <w:u w:val="single"/>
        </w:rPr>
      </w:pPr>
      <w:r w:rsidRPr="007929FB">
        <w:rPr>
          <w:rFonts w:ascii="Verdana" w:hAnsi="Verdana"/>
          <w:b/>
          <w:u w:val="single"/>
        </w:rPr>
        <w:t>ENSEMBLE DE MESURES NO 7</w:t>
      </w:r>
    </w:p>
    <w:p w:rsidR="007929FB" w:rsidRPr="007929FB" w:rsidRDefault="007929FB" w:rsidP="007929FB">
      <w:pPr>
        <w:autoSpaceDE w:val="0"/>
        <w:autoSpaceDN w:val="0"/>
        <w:adjustRightInd w:val="0"/>
        <w:spacing w:after="0" w:line="240" w:lineRule="auto"/>
        <w:jc w:val="both"/>
        <w:rPr>
          <w:rFonts w:ascii="Verdana" w:hAnsi="Verdana"/>
          <w:b/>
          <w:u w:val="single"/>
        </w:rPr>
      </w:pPr>
    </w:p>
    <w:p w:rsidR="007929FB" w:rsidRDefault="007929FB" w:rsidP="007929FB">
      <w:pPr>
        <w:autoSpaceDE w:val="0"/>
        <w:autoSpaceDN w:val="0"/>
        <w:adjustRightInd w:val="0"/>
        <w:spacing w:after="0" w:line="240" w:lineRule="auto"/>
        <w:jc w:val="both"/>
        <w:rPr>
          <w:rFonts w:ascii="Verdana" w:hAnsi="Verdana"/>
          <w:b/>
        </w:rPr>
      </w:pPr>
      <w:r w:rsidRPr="007929FB">
        <w:rPr>
          <w:rFonts w:ascii="Verdana" w:hAnsi="Verdana"/>
          <w:b/>
        </w:rPr>
        <w:t>Mesures visant à encadrer la prise de toute décision ayant pour effet d’autoriser la</w:t>
      </w:r>
      <w:r>
        <w:rPr>
          <w:rFonts w:ascii="Verdana" w:hAnsi="Verdana"/>
          <w:b/>
        </w:rPr>
        <w:t xml:space="preserve"> </w:t>
      </w:r>
      <w:r w:rsidRPr="007929FB">
        <w:rPr>
          <w:rFonts w:ascii="Verdana" w:hAnsi="Verdana"/>
          <w:b/>
        </w:rPr>
        <w:t>modification d’un contrat.</w:t>
      </w:r>
    </w:p>
    <w:p w:rsidR="007929FB" w:rsidRPr="007929FB" w:rsidRDefault="007929FB" w:rsidP="007929FB">
      <w:pPr>
        <w:autoSpaceDE w:val="0"/>
        <w:autoSpaceDN w:val="0"/>
        <w:adjustRightInd w:val="0"/>
        <w:spacing w:after="0" w:line="240" w:lineRule="auto"/>
        <w:jc w:val="both"/>
        <w:rPr>
          <w:rFonts w:ascii="Verdana" w:hAnsi="Verdana"/>
          <w:b/>
        </w:rPr>
      </w:pPr>
    </w:p>
    <w:p w:rsidR="007929FB" w:rsidRDefault="007929FB" w:rsidP="007929FB">
      <w:pPr>
        <w:autoSpaceDE w:val="0"/>
        <w:autoSpaceDN w:val="0"/>
        <w:adjustRightInd w:val="0"/>
        <w:spacing w:after="0" w:line="240" w:lineRule="auto"/>
        <w:jc w:val="both"/>
        <w:rPr>
          <w:rFonts w:ascii="Verdana" w:hAnsi="Verdana"/>
        </w:rPr>
      </w:pPr>
      <w:r w:rsidRPr="007929FB">
        <w:rPr>
          <w:rFonts w:ascii="Verdana" w:hAnsi="Verdana"/>
        </w:rPr>
        <w:t>7.1 Toute directive de changement doit obligatoirement être autorisée par le directeur général</w:t>
      </w:r>
      <w:r>
        <w:rPr>
          <w:rFonts w:ascii="Verdana" w:hAnsi="Verdana"/>
        </w:rPr>
        <w:t xml:space="preserve"> </w:t>
      </w:r>
      <w:r w:rsidRPr="007929FB">
        <w:rPr>
          <w:rFonts w:ascii="Verdana" w:hAnsi="Verdana"/>
        </w:rPr>
        <w:t>de la municipalité en plus de l’ingénieur ou du consultant responsable du contrat. Le</w:t>
      </w:r>
      <w:r>
        <w:rPr>
          <w:rFonts w:ascii="Verdana" w:hAnsi="Verdana"/>
        </w:rPr>
        <w:t xml:space="preserve"> </w:t>
      </w:r>
      <w:r w:rsidRPr="007929FB">
        <w:rPr>
          <w:rFonts w:ascii="Verdana" w:hAnsi="Verdana"/>
        </w:rPr>
        <w:t>directeur pourra autoriser des directives de changements pour un maximum de 10% du</w:t>
      </w:r>
      <w:r>
        <w:rPr>
          <w:rFonts w:ascii="Verdana" w:hAnsi="Verdana"/>
        </w:rPr>
        <w:t xml:space="preserve"> </w:t>
      </w:r>
      <w:r w:rsidRPr="007929FB">
        <w:rPr>
          <w:rFonts w:ascii="Verdana" w:hAnsi="Verdana"/>
        </w:rPr>
        <w:t>coût du contrat</w:t>
      </w:r>
      <w:r w:rsidR="00B8231B">
        <w:rPr>
          <w:rFonts w:ascii="Verdana" w:hAnsi="Verdana"/>
        </w:rPr>
        <w:t xml:space="preserve"> et ceci jusqu'à un maximum de 25 000$</w:t>
      </w:r>
      <w:r w:rsidRPr="007929FB">
        <w:rPr>
          <w:rFonts w:ascii="Verdana" w:hAnsi="Verdana"/>
        </w:rPr>
        <w:t>.</w:t>
      </w:r>
      <w:r w:rsidR="00B8231B">
        <w:rPr>
          <w:rFonts w:ascii="Verdana" w:hAnsi="Verdana"/>
        </w:rPr>
        <w:t xml:space="preserve"> </w:t>
      </w:r>
      <w:r w:rsidRPr="007929FB">
        <w:rPr>
          <w:rFonts w:ascii="Verdana" w:hAnsi="Verdana"/>
        </w:rPr>
        <w:t xml:space="preserve"> Tout dépassement devra être autorisé par une résolution du</w:t>
      </w:r>
      <w:r>
        <w:rPr>
          <w:rFonts w:ascii="Verdana" w:hAnsi="Verdana"/>
        </w:rPr>
        <w:t xml:space="preserve"> </w:t>
      </w:r>
      <w:r w:rsidRPr="007929FB">
        <w:rPr>
          <w:rFonts w:ascii="Verdana" w:hAnsi="Verdana"/>
        </w:rPr>
        <w:t>conseil.</w:t>
      </w:r>
    </w:p>
    <w:p w:rsidR="007929FB" w:rsidRPr="007929FB" w:rsidRDefault="007929FB" w:rsidP="007929FB">
      <w:pPr>
        <w:autoSpaceDE w:val="0"/>
        <w:autoSpaceDN w:val="0"/>
        <w:adjustRightInd w:val="0"/>
        <w:spacing w:after="0" w:line="240" w:lineRule="auto"/>
        <w:jc w:val="both"/>
        <w:rPr>
          <w:rFonts w:ascii="Verdana" w:hAnsi="Verdana"/>
        </w:rPr>
      </w:pPr>
    </w:p>
    <w:p w:rsidR="00E92BB2" w:rsidRPr="00E92BB2" w:rsidRDefault="007929FB" w:rsidP="007929FB">
      <w:pPr>
        <w:autoSpaceDE w:val="0"/>
        <w:autoSpaceDN w:val="0"/>
        <w:adjustRightInd w:val="0"/>
        <w:spacing w:after="0" w:line="240" w:lineRule="auto"/>
        <w:jc w:val="both"/>
        <w:rPr>
          <w:rFonts w:ascii="Verdana" w:hAnsi="Verdana"/>
        </w:rPr>
      </w:pPr>
      <w:r w:rsidRPr="007929FB">
        <w:rPr>
          <w:rFonts w:ascii="Verdana" w:hAnsi="Verdana"/>
        </w:rPr>
        <w:t>7.2 Tenir des réunions de chantier régulièrement pour assurer le suivi des contrats.</w:t>
      </w:r>
    </w:p>
    <w:sectPr w:rsidR="00E92BB2" w:rsidRPr="00E92BB2" w:rsidSect="00BF6586">
      <w:pgSz w:w="12242" w:h="16443"/>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414BF90t00">
    <w:panose1 w:val="00000000000000000000"/>
    <w:charset w:val="00"/>
    <w:family w:val="auto"/>
    <w:notTrueType/>
    <w:pitch w:val="default"/>
    <w:sig w:usb0="00000003" w:usb1="00000000" w:usb2="00000000" w:usb3="00000000" w:csb0="00000001" w:csb1="00000000"/>
  </w:font>
  <w:font w:name="TTE46904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37C0"/>
    <w:multiLevelType w:val="hybridMultilevel"/>
    <w:tmpl w:val="8EA247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
    <w:nsid w:val="347C4033"/>
    <w:multiLevelType w:val="multilevel"/>
    <w:tmpl w:val="E5E28E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717F8"/>
    <w:rsid w:val="001F18EE"/>
    <w:rsid w:val="00307585"/>
    <w:rsid w:val="00457DA0"/>
    <w:rsid w:val="004717F8"/>
    <w:rsid w:val="004D01E0"/>
    <w:rsid w:val="00512F2F"/>
    <w:rsid w:val="006D7928"/>
    <w:rsid w:val="00770828"/>
    <w:rsid w:val="007929FB"/>
    <w:rsid w:val="008033FE"/>
    <w:rsid w:val="008448FA"/>
    <w:rsid w:val="00B73A77"/>
    <w:rsid w:val="00B8231B"/>
    <w:rsid w:val="00BF6586"/>
    <w:rsid w:val="00CE5549"/>
    <w:rsid w:val="00D172B3"/>
    <w:rsid w:val="00E25E61"/>
    <w:rsid w:val="00E92BB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1BCD-E1CB-455C-A741-F74319C9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11</cp:revision>
  <cp:lastPrinted>2010-12-08T18:25:00Z</cp:lastPrinted>
  <dcterms:created xsi:type="dcterms:W3CDTF">2010-11-10T16:07:00Z</dcterms:created>
  <dcterms:modified xsi:type="dcterms:W3CDTF">2010-12-08T18:27:00Z</dcterms:modified>
</cp:coreProperties>
</file>